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04" w:rsidRDefault="00276303" w:rsidP="0003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3520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Положение</w:t>
      </w:r>
    </w:p>
    <w:p w:rsidR="00035204" w:rsidRDefault="00276303" w:rsidP="0003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Международном молодежном конкурсе </w:t>
      </w:r>
    </w:p>
    <w:p w:rsidR="00276303" w:rsidRPr="004A3D60" w:rsidRDefault="00276303" w:rsidP="000352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научных, научно-практических и научно-фантастических работ «горизонт-2100»</w:t>
      </w:r>
    </w:p>
    <w:p w:rsidR="00276303" w:rsidRPr="0067701B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70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I. Общие положения 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условия и порядок проведения Международного молодежного конкурса </w:t>
      </w: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научных, научно-практических и научно-фантастических работ «горизонт-2100»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Конкурса.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3D60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организуется по инициативе Центра моделирования Будущего в образовании, науке, экономике и социально-гуманитарной сфере и проводится онлайн в заочной форме.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является добровольным и бесплатным.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ПРОВЕДЕНИЯ КОНКУРСА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A3D60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проведения Конкурса – мотивировать мыслящую молодежь из разных стран с активной жизненной позицией осуществить креативный поиск научных, научно-практических идей, гипотез, научно-фантастических представлений об отдаленном будущем; выявить и поощрить лучших молодых людей, увлеченных и способных к научному творчеству, анализу и прогнозированию будущего.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E8C" w:rsidRPr="004A3D60" w:rsidRDefault="009F2E8C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Конкурс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работ, отражающих научные гипотезы и научное видение о будущем планеты и человечества на рубеже 2100 года;</w:t>
      </w:r>
    </w:p>
    <w:p w:rsidR="009F2E8C" w:rsidRPr="004A3D60" w:rsidRDefault="009F2E8C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Конкурс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работ, содержащих научно-фантастическое представление о будущем планеты и человечества на рубеже 2100 года, оригинальные инновационные идеи, фантастические события и явления, и дающее им научное объяснение;</w:t>
      </w:r>
    </w:p>
    <w:p w:rsidR="003B2B0F" w:rsidRPr="003B2B0F" w:rsidRDefault="009F2E8C" w:rsidP="00BE3B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Выявление </w:t>
      </w:r>
      <w:r w:rsid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предлагающих </w:t>
      </w:r>
      <w:r w:rsidR="003B2B0F" w:rsidRP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решения, направленные на</w:t>
      </w:r>
      <w:r w:rsid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B0F" w:rsidRPr="003B2B0F" w:rsidRDefault="003B2B0F" w:rsidP="00BE3BD4">
      <w:pPr>
        <w:spacing w:after="12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уязвимости человечества перед лицом будущих пандемий;</w:t>
      </w:r>
    </w:p>
    <w:p w:rsidR="003B2B0F" w:rsidRPr="003B2B0F" w:rsidRDefault="003B2B0F" w:rsidP="00BE3BD4">
      <w:pPr>
        <w:spacing w:after="12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предпосылок и механизмов в любых сферах для развития и укрепления устойчивости человечества к возможным вызовам будущего;</w:t>
      </w:r>
    </w:p>
    <w:p w:rsidR="003B2B0F" w:rsidRDefault="003B2B0F" w:rsidP="00BE3BD4">
      <w:pPr>
        <w:spacing w:after="12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такого будущего, в котором авторам работ хотелось бы жить самим, и которое, по их мнению, будет соответствовать запросам нынешних и потребностям будущих поколений.</w:t>
      </w:r>
    </w:p>
    <w:p w:rsidR="009F2E8C" w:rsidRPr="004A3D60" w:rsidRDefault="003B2B0F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</w:t>
      </w:r>
      <w:r w:rsidR="009F2E8C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оощрение наиболее одаренных Участников Конкурса, ориентированных на самостоятельную научную и творческую деятельность в области научного видения 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моделирования его сценариев, востребованных человечеством</w:t>
      </w:r>
      <w:r w:rsidR="009F2E8C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E8C" w:rsidRPr="004A3D60" w:rsidRDefault="009F2E8C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B2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числа участников и экспертов Проекта в интересах развития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FF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68BB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 среды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научную и творческую коммуникацию молодежи</w:t>
      </w:r>
      <w:r w:rsidR="00FF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экспертов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стран, увлеченн</w:t>
      </w:r>
      <w:r w:rsidR="00FF68B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генерацией новых идей, научных гипотез, научно-фантастических, философских и иных представлений об отдаленном будущем.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III. Организаторы Конкурса и ОРГКОМИТЕТ 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успешного проведения Конкурса его Инициатором приглашаются другие Организаторы - негосударственные и государственные образовательные, научно-исследовательские организации и институты развития из разных стран, разделяющие идеи и цели Конкурса и осуществляющие необходимую организационную, административную, информационную, финансовую и материально-техническую деятельность для его успешной реализации. Инициатор Конкурса принимает на себя функции Ответственного Организатора.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Организаторами Конкурса из числа известных авторитетных научных, научно-фантастических и общественных деятелей, представителей органов власти, деловых кругов и Организаторов создается Организационный комитет, далее – Оргкомитет, на который возлагается общее руководство работой по организации и проведению Конкурса.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ПРОФИЛЬНЫЕ НАПРАВЛЕНИЯ И НОМИНАЦИИ КОНКУРСА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по следующим профильным направлениям</w:t>
      </w:r>
      <w:r w:rsidR="003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темам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D60" w:rsidRPr="004A3D60" w:rsidRDefault="004A3D60" w:rsidP="004A3D60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>Человек будущего;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Медицина, фармакология, медико-биологические отрасли, здравоохранение, продление жизни, физиология человека, лечение и профилактика заболеваний, устойчивость микробов к антибиотикам (чем это грозит человеку будущего); способы сохранения и укрепления здоровья и трудоспособности людей, человек-киборг (с интегрированными в организм механическими или электронными устройствами); "умные" и растущие протезы, лечебные экзоскелеты;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Правовые и этические аспекты репродукции человека (искусственная репродукция и посмертная), расширение возможностей репродукции в будущем, этические вопросы создания искусственного человека и медико-биологические проблемы рождения человека в космосе; 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Поколения веб, эволюционно "медленный" человек в информационном мире.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60">
        <w:rPr>
          <w:rFonts w:ascii="Times New Roman" w:hAnsi="Times New Roman" w:cs="Times New Roman"/>
          <w:b/>
          <w:sz w:val="24"/>
          <w:szCs w:val="24"/>
        </w:rPr>
        <w:t xml:space="preserve">Мир будущего: </w:t>
      </w:r>
    </w:p>
    <w:p w:rsidR="004A3D60" w:rsidRPr="004A3D60" w:rsidRDefault="004A3D60" w:rsidP="004A3D60">
      <w:pPr>
        <w:pStyle w:val="1"/>
        <w:shd w:val="clear" w:color="auto" w:fill="FFFFFF"/>
        <w:spacing w:before="0" w:after="120" w:line="240" w:lineRule="auto"/>
        <w:jc w:val="both"/>
        <w:rPr>
          <w:sz w:val="24"/>
          <w:szCs w:val="24"/>
        </w:rPr>
      </w:pPr>
      <w:r w:rsidRPr="004A3D60">
        <w:rPr>
          <w:b w:val="0"/>
          <w:bCs w:val="0"/>
          <w:kern w:val="0"/>
          <w:sz w:val="24"/>
          <w:szCs w:val="24"/>
        </w:rPr>
        <w:t>- Международные отношения, международное сотрудничество, международная безопасность, региональные конфликты, войны, вооруженные силы и вооружение, мировая культура, мировые цивилизации</w:t>
      </w:r>
      <w:r w:rsidRPr="004A3D60">
        <w:rPr>
          <w:sz w:val="24"/>
          <w:szCs w:val="24"/>
        </w:rPr>
        <w:t>;</w:t>
      </w:r>
    </w:p>
    <w:p w:rsidR="004A3D60" w:rsidRPr="004A3D60" w:rsidRDefault="004A3D60" w:rsidP="004A3D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Геополитические процессы, ключевые мировые агенты и акторы - страны, интеграционные объединения, транснациональные корпорации; электронные правительства, национальные угрозы в контексте глобальных проблем, неравенство и социальный разрыв в глобальном масштабе.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Экономические и социальные аспекты развития человечества, миграция, </w:t>
      </w:r>
      <w:hyperlink r:id="rId7" w:tooltip="Этнография" w:history="1">
        <w:r w:rsidRPr="004A3D60">
          <w:rPr>
            <w:rFonts w:ascii="Times New Roman" w:hAnsi="Times New Roman" w:cs="Times New Roman"/>
            <w:sz w:val="24"/>
            <w:szCs w:val="24"/>
          </w:rPr>
          <w:t>этнография</w:t>
        </w:r>
      </w:hyperlink>
      <w:r w:rsidRPr="004A3D60">
        <w:rPr>
          <w:rFonts w:ascii="Times New Roman" w:hAnsi="Times New Roman" w:cs="Times New Roman"/>
          <w:sz w:val="24"/>
          <w:szCs w:val="24"/>
        </w:rPr>
        <w:t xml:space="preserve">, демография; освоение космоса, космоглобалистика, глобальная эволюция, 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Общество, гражданское общество; информационное общество, национальные цифровые стратегии, общество и нанотехнологии;</w:t>
      </w:r>
    </w:p>
    <w:p w:rsidR="004A3D60" w:rsidRPr="004A3D60" w:rsidRDefault="004A3D60" w:rsidP="004A3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Вопросы пандемий в условиях глобализации и увеличения числа жителей Земли.</w:t>
      </w:r>
    </w:p>
    <w:p w:rsidR="004A3D60" w:rsidRPr="004A3D60" w:rsidRDefault="004A3D60" w:rsidP="004A3D60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>Будущее науки, управления знаниями и инновациями:</w:t>
      </w:r>
    </w:p>
    <w:p w:rsidR="004A3D60" w:rsidRPr="004A3D60" w:rsidRDefault="004A3D60" w:rsidP="004A3D60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Естественные науки: </w:t>
      </w:r>
    </w:p>
    <w:p w:rsidR="004A3D60" w:rsidRPr="004A3D60" w:rsidRDefault="004A3D60" w:rsidP="00BE3BD4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Астрономия - ее возможности, Солнечная система, планеты и экзопланеты, звезды, галактики, космология и эволюция Вселенной, поиск внеземного разума; </w:t>
      </w:r>
    </w:p>
    <w:p w:rsidR="004A3D60" w:rsidRPr="004A3D60" w:rsidRDefault="004A3D60" w:rsidP="00BE3BD4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Физика - оптика, физика плазмы, строение материи, физика различных сред;</w:t>
      </w:r>
    </w:p>
    <w:p w:rsidR="004A3D60" w:rsidRPr="004A3D60" w:rsidRDefault="004A3D60" w:rsidP="00BE3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Химия - неорганическая, биохимия, биогеохимия, геохимия, агрохимия, медицинская химия, физическая химия, термохимия, электрохимия, фотохимия, ядерная химия, криохимия, плазмохимия, механохимия, космохимия, химия переработки веществ и т.д.; </w:t>
      </w:r>
    </w:p>
    <w:p w:rsidR="004A3D60" w:rsidRPr="004A3D60" w:rsidRDefault="004A3D60" w:rsidP="00BE3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Биология - зоология, ботаника, физиология животных, человека и растений, биологическая химия, микробиология, вирусология (Как пандемии способны в будущем изменить теоретическую и прикладную вирусологию в мире), молекулярная биология, молекулярная генетика, космическая биология и т.д.; география - геология, география, почвоведение, антропология, климатология и т.д.</w:t>
      </w:r>
    </w:p>
    <w:p w:rsidR="004A3D60" w:rsidRPr="004A3D60" w:rsidRDefault="004A3D60" w:rsidP="00BE3B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Технические науки - архитектура, космонавтика, кораблестроение, машиностроение, материаловедение (в том числе смарт-материалы, нано- и супраструктуры), механика, системотехника, электротехника, электросвязь, радиоэлектроника, химическая технология, биотехнология, информатика, ядерная энергетика и т.д. </w:t>
      </w:r>
    </w:p>
    <w:p w:rsidR="004A3D60" w:rsidRPr="004A3D60" w:rsidRDefault="004A3D60" w:rsidP="00BE3BD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Гуманитарные и общественные науки - психология, антропология, история, этнография, лингвистика, риторика, педагогика, культурология, филология; социология, экономика, политология, общественные науки в целом, т</w:t>
      </w:r>
      <w:hyperlink r:id="rId8" w:history="1">
        <w:r w:rsidRPr="004A3D60">
          <w:rPr>
            <w:rFonts w:ascii="Times New Roman" w:hAnsi="Times New Roman" w:cs="Times New Roman"/>
            <w:sz w:val="24"/>
            <w:szCs w:val="24"/>
          </w:rPr>
          <w:t>еория и практика общественного развития</w:t>
        </w:r>
      </w:hyperlink>
      <w:r w:rsidRPr="004A3D60">
        <w:rPr>
          <w:rFonts w:ascii="Times New Roman" w:hAnsi="Times New Roman" w:cs="Times New Roman"/>
          <w:sz w:val="24"/>
          <w:szCs w:val="24"/>
        </w:rPr>
        <w:t>, философия, социология, политология, социальные процессы, обмен научной информацией об актуальных социальных исследованиях, государство и право, юридические науки, политика и политические науки, адаптивные обучающие системы.</w:t>
      </w:r>
    </w:p>
    <w:p w:rsidR="004A3D60" w:rsidRPr="004A3D60" w:rsidRDefault="004A3D60" w:rsidP="00BE3BD4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>Будущее ИИ, цифровой среды, бионики, и других ключевых технологий</w:t>
      </w:r>
      <w:r w:rsidRPr="004A3D60">
        <w:rPr>
          <w:rFonts w:ascii="Times New Roman" w:hAnsi="Times New Roman"/>
          <w:sz w:val="24"/>
          <w:szCs w:val="24"/>
        </w:rPr>
        <w:t>;</w:t>
      </w:r>
    </w:p>
    <w:p w:rsidR="004A3D60" w:rsidRPr="004A3D60" w:rsidRDefault="004A3D60" w:rsidP="00BE3BD4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Моделирование мышления, гибридный интеллект, интеллектуальных системы, бизнес-интеллект, трансформация производства, биотехнология, когнитивная информатика, блокчейн технологии, расширение</w:t>
      </w:r>
      <w:hyperlink r:id="rId9" w:anchor="%D0%9E%D0%B1%D0%BB%D0%B0%D1%81%D1%82%D0%B8_%D0%BF%D1%80%D0%B8%D0%BC%D0%B5%D0%BD%D0%B5%D0%BD%D0%B8%D1%8F_%D0%B8%D1%81%D0%BA%D1%83%D1%81%D1%81%D1%82%D0%B2%D0%B5%D0%BD%D0%BD%D0%BE%D0%B3%D0%BE_%D0%B8%D0%BD%D1%82%D0%B5%D0%BB%D0%BB%D0%B5%D0%BA%D1%82%D0%B0" w:history="1">
        <w:r w:rsidRPr="004A3D60">
          <w:rPr>
            <w:rFonts w:ascii="Times New Roman" w:hAnsi="Times New Roman" w:cs="Times New Roman"/>
            <w:sz w:val="24"/>
            <w:szCs w:val="24"/>
          </w:rPr>
          <w:t xml:space="preserve"> областей применения искусственного интеллекта</w:t>
        </w:r>
      </w:hyperlink>
      <w:r w:rsidRPr="004A3D60">
        <w:rPr>
          <w:rFonts w:ascii="Times New Roman" w:hAnsi="Times New Roman" w:cs="Times New Roman"/>
          <w:sz w:val="24"/>
          <w:szCs w:val="24"/>
        </w:rPr>
        <w:t>, машинное обучение, глубокое обучение нейронных сетей.</w:t>
      </w:r>
    </w:p>
    <w:p w:rsidR="004A3D60" w:rsidRPr="004A3D60" w:rsidRDefault="004A3D60" w:rsidP="00BE3BD4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 xml:space="preserve">- - Интернет вещей, восприятие информации, информационное общество, информационная сфера, общепланетарные сети, </w:t>
      </w:r>
      <w:r w:rsidRPr="004A3D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«темная сторона» цифрового будущего</w:t>
      </w:r>
      <w:r w:rsidRPr="004A3D60">
        <w:rPr>
          <w:rFonts w:ascii="Times New Roman" w:hAnsi="Times New Roman" w:cs="Times New Roman"/>
          <w:sz w:val="24"/>
          <w:szCs w:val="24"/>
        </w:rPr>
        <w:t>.</w:t>
      </w:r>
    </w:p>
    <w:p w:rsidR="004A3D60" w:rsidRPr="004A3D60" w:rsidRDefault="004A3D60" w:rsidP="00BE3BD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- Нанотехнологии - наномедицина, индустрия нанотехнологий, вычислительные нанотехнологии, моделирование наносистем, рынок нанотехнологий.</w:t>
      </w:r>
    </w:p>
    <w:p w:rsidR="004A3D60" w:rsidRPr="004A3D60" w:rsidRDefault="004A3D60" w:rsidP="00BE3BD4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>Будущее экономики, бизнеса и финансовой сферы</w:t>
      </w:r>
      <w:r w:rsidRPr="004A3D60">
        <w:rPr>
          <w:rFonts w:ascii="Times New Roman" w:hAnsi="Times New Roman"/>
          <w:sz w:val="24"/>
          <w:szCs w:val="24"/>
        </w:rPr>
        <w:t>;</w:t>
      </w:r>
    </w:p>
    <w:p w:rsidR="004A3D60" w:rsidRPr="004A3D60" w:rsidRDefault="004A3D60" w:rsidP="00BE3BD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Экономическая теория, неоклассическая экономика, поведенческая экономика, региональная экономика, государственное регулирование, зеленая экономика, инновации в бизнесе, электронный бизнес, торговые боты, новые бизнес-экосистемы, предпринимательство, финансы, поведенческие финансы, инвестиции, бюджет, налоги, банки, эволюция денег, мировая экономика и государства, внешняя торговля, международный бизнес, изменения в экономике в результате автоматизации и их влияние на общество.</w:t>
      </w:r>
    </w:p>
    <w:p w:rsidR="004A3D60" w:rsidRPr="004A3D60" w:rsidRDefault="004A3D60" w:rsidP="00BE3BD4">
      <w:pPr>
        <w:pStyle w:val="11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>Будущее экосистемы Земли</w:t>
      </w:r>
      <w:r w:rsidRPr="004A3D60">
        <w:rPr>
          <w:rFonts w:ascii="Times New Roman" w:hAnsi="Times New Roman"/>
          <w:sz w:val="24"/>
          <w:szCs w:val="24"/>
        </w:rPr>
        <w:t xml:space="preserve">;  </w:t>
      </w:r>
    </w:p>
    <w:p w:rsidR="004A3D60" w:rsidRPr="004A3D60" w:rsidRDefault="004A3D60" w:rsidP="00BE3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Экология, локальные и глобальные экосистемы, охрана окружающей среды, почвоведение, антропогенная система, организационно-правовые механизмы природопользования, управление в сфере природопользования и охраны окружающей среды, публичные экологические отношения, воздействие производств на окружающую среду, космический мусор, освоение ресурсов</w:t>
      </w:r>
      <w:r w:rsidRPr="004A3D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изменение климата, глобальный кризис биоразнообразия</w:t>
      </w:r>
      <w:r w:rsidRPr="004A3D60">
        <w:rPr>
          <w:rFonts w:ascii="Times New Roman" w:hAnsi="Times New Roman" w:cs="Times New Roman"/>
          <w:sz w:val="24"/>
          <w:szCs w:val="24"/>
        </w:rPr>
        <w:t>.</w:t>
      </w:r>
    </w:p>
    <w:p w:rsidR="004A3D60" w:rsidRDefault="004A3D60" w:rsidP="00BE3BD4">
      <w:pPr>
        <w:pStyle w:val="11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>Энергетика будущего</w:t>
      </w:r>
      <w:r w:rsidRPr="004A3D60">
        <w:rPr>
          <w:rFonts w:ascii="Times New Roman" w:hAnsi="Times New Roman"/>
          <w:sz w:val="24"/>
          <w:szCs w:val="24"/>
        </w:rPr>
        <w:t>;</w:t>
      </w:r>
    </w:p>
    <w:p w:rsidR="00BE3BD4" w:rsidRDefault="004A3D60" w:rsidP="00BE3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возобновляемые источники энергии, нетрадиционные источники энергии, электрические сети, энергосбережение,  т</w:t>
      </w:r>
      <w:hyperlink r:id="rId10" w:anchor="%D0%A2%D0%B5%D0%BF%D0%BB%D0%BE%D1%81%D0%BD%D0%B0%D0%B1%D0%B6%D0%B5%D0%BD%D0%B8%D0%B5" w:history="1">
        <w:r w:rsidRPr="004A3D60">
          <w:rPr>
            <w:rFonts w:ascii="Times New Roman" w:hAnsi="Times New Roman" w:cs="Times New Roman"/>
            <w:sz w:val="24"/>
            <w:szCs w:val="24"/>
          </w:rPr>
          <w:t>еплоснабжение</w:t>
        </w:r>
      </w:hyperlink>
      <w:r w:rsidRPr="004A3D60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anchor="%D0%AD%D0%BD%D0%B5%D1%80%D0%B3%D0%B5%D1%82%D0%B8%D1%87%D0%B5%D1%81%D0%BA%D0%B8%D0%B5_%D1%81%D0%B8%D1%81%D1%82%D0%B5%D0%BC%D1%8B" w:history="1">
        <w:r w:rsidRPr="004A3D60">
          <w:rPr>
            <w:rFonts w:ascii="Times New Roman" w:hAnsi="Times New Roman" w:cs="Times New Roman"/>
            <w:sz w:val="24"/>
            <w:szCs w:val="24"/>
          </w:rPr>
          <w:t>энергетические системы</w:t>
        </w:r>
      </w:hyperlink>
      <w:r w:rsidRPr="004A3D60">
        <w:rPr>
          <w:rFonts w:ascii="Times New Roman" w:hAnsi="Times New Roman" w:cs="Times New Roman"/>
          <w:sz w:val="24"/>
          <w:szCs w:val="24"/>
        </w:rPr>
        <w:t xml:space="preserve">, энергетика и </w:t>
      </w:r>
    </w:p>
    <w:p w:rsidR="004A3D60" w:rsidRPr="004A3D60" w:rsidRDefault="004A3D60" w:rsidP="00BE3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0">
        <w:rPr>
          <w:rFonts w:ascii="Times New Roman" w:hAnsi="Times New Roman" w:cs="Times New Roman"/>
          <w:sz w:val="24"/>
          <w:szCs w:val="24"/>
        </w:rPr>
        <w:t>дипломатия, энергетика и безопасность, развитие направлений альтернативной энергетики</w:t>
      </w:r>
    </w:p>
    <w:p w:rsidR="004A3D60" w:rsidRPr="004A3D60" w:rsidRDefault="004A3D60" w:rsidP="00BE3BD4">
      <w:pPr>
        <w:pStyle w:val="11"/>
        <w:spacing w:after="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3D60">
        <w:rPr>
          <w:rFonts w:ascii="Times New Roman" w:hAnsi="Times New Roman"/>
          <w:b/>
          <w:sz w:val="24"/>
          <w:szCs w:val="24"/>
        </w:rPr>
        <w:t xml:space="preserve">Будущее жизнедеятельности и среды обитания человечества. </w:t>
      </w:r>
    </w:p>
    <w:p w:rsidR="009F2E8C" w:rsidRPr="004A3D60" w:rsidRDefault="004A3D60" w:rsidP="00BE3B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hAnsi="Times New Roman" w:cs="Times New Roman"/>
          <w:sz w:val="24"/>
          <w:szCs w:val="24"/>
        </w:rPr>
        <w:t>(Агрокомплекс и сельское развитие; урбанистика - инфраструктура города будущего, мобильность, транспорт и инфраструктура, здоровье, страхование, социальная инфраструктура, образование, профессии, занятость, отдых, семья, качество жизни, сферы жизни и развитие, уровень жизни, самореализация, информационное богатство и информационная бедность, общественно-политическое устройство и структура общества, стратегии человечества по освоению межзвездного пространства и ресурсов космоса, развитие космической цивилизации, экспансия человека в космос и на другие планеты, космические поселения, внеземные цивилизации.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рамках одного направления конкурс проводится по </w:t>
      </w:r>
      <w:r w:rsid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4A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4AE8" w:rsidRPr="009B50C5" w:rsidTr="009B50C5">
        <w:tc>
          <w:tcPr>
            <w:tcW w:w="4390" w:type="dxa"/>
          </w:tcPr>
          <w:p w:rsidR="00244AE8" w:rsidRPr="009B50C5" w:rsidRDefault="00C63FE5" w:rsidP="009B50C5">
            <w:pPr>
              <w:spacing w:before="120" w:after="120"/>
              <w:ind w:left="113" w:right="113"/>
              <w:jc w:val="both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98421A">
              <w:rPr>
                <w:spacing w:val="2"/>
                <w:sz w:val="24"/>
                <w:szCs w:val="24"/>
                <w:shd w:val="clear" w:color="auto" w:fill="FFFFFF"/>
              </w:rPr>
              <w:t>На лучшую научную работу - статью, научно-исследовательскую, научно-практическую работу - отражающую инновационные и оригинальные идеи, научное видение о будущем планеты и человечества на рубеже 2100 года,</w:t>
            </w:r>
          </w:p>
        </w:tc>
        <w:tc>
          <w:tcPr>
            <w:tcW w:w="4955" w:type="dxa"/>
          </w:tcPr>
          <w:p w:rsidR="00244AE8" w:rsidRPr="009B50C5" w:rsidRDefault="00C63FE5" w:rsidP="009B50C5">
            <w:pPr>
              <w:spacing w:before="120" w:after="120"/>
              <w:ind w:left="113" w:right="113"/>
              <w:jc w:val="both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98421A">
              <w:rPr>
                <w:spacing w:val="2"/>
                <w:sz w:val="24"/>
                <w:szCs w:val="24"/>
                <w:shd w:val="clear" w:color="auto" w:fill="FFFFFF"/>
              </w:rPr>
              <w:t>На лучшую научно-фантастическую работу - рассказ, эссе, репортаж - описывающую воображаемые инновационные и оригинальные идеи, фантастические события, явления и перспективы будущего на рубеже 2100 года, дающую им научное объяснение,</w:t>
            </w:r>
          </w:p>
        </w:tc>
      </w:tr>
      <w:tr w:rsidR="00244AE8" w:rsidRPr="009B50C5" w:rsidTr="009B50C5">
        <w:tc>
          <w:tcPr>
            <w:tcW w:w="9345" w:type="dxa"/>
            <w:gridSpan w:val="2"/>
          </w:tcPr>
          <w:p w:rsidR="00244AE8" w:rsidRPr="009B50C5" w:rsidRDefault="00241983" w:rsidP="009B50C5">
            <w:pPr>
              <w:spacing w:before="120" w:after="120"/>
              <w:ind w:left="113" w:right="113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C2358">
              <w:rPr>
                <w:iCs/>
                <w:spacing w:val="-2"/>
                <w:sz w:val="24"/>
                <w:szCs w:val="24"/>
              </w:rPr>
              <w:t xml:space="preserve">а также </w:t>
            </w:r>
            <w:r w:rsidRPr="007C2358">
              <w:rPr>
                <w:sz w:val="24"/>
                <w:szCs w:val="24"/>
              </w:rPr>
              <w:t>содержащ</w:t>
            </w:r>
            <w:r>
              <w:rPr>
                <w:sz w:val="24"/>
                <w:szCs w:val="24"/>
              </w:rPr>
              <w:t>ую</w:t>
            </w:r>
            <w:r w:rsidRPr="007C2358">
              <w:rPr>
                <w:sz w:val="24"/>
                <w:szCs w:val="24"/>
              </w:rPr>
              <w:t xml:space="preserve"> решения, направленные на</w:t>
            </w:r>
          </w:p>
          <w:p w:rsidR="00244AE8" w:rsidRPr="009B50C5" w:rsidRDefault="00244AE8" w:rsidP="009B50C5">
            <w:pPr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 w:rsidRPr="009B50C5">
              <w:rPr>
                <w:sz w:val="24"/>
                <w:szCs w:val="24"/>
              </w:rPr>
              <w:t>- снижение уязвимости человечества перед лицом будущих пандемий;</w:t>
            </w:r>
          </w:p>
          <w:p w:rsidR="00244AE8" w:rsidRPr="009B50C5" w:rsidRDefault="00244AE8" w:rsidP="009B50C5">
            <w:pPr>
              <w:shd w:val="clear" w:color="auto" w:fill="FFFFFF"/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 w:rsidRPr="009B50C5">
              <w:rPr>
                <w:sz w:val="24"/>
                <w:szCs w:val="24"/>
              </w:rPr>
              <w:t>- создание предпосылок и механизмов в любых сферах для развития и укрепления устойчивости человечества к возможным вызовам будущего;</w:t>
            </w:r>
          </w:p>
          <w:p w:rsidR="00244AE8" w:rsidRPr="009B50C5" w:rsidRDefault="00244AE8" w:rsidP="009B50C5">
            <w:pPr>
              <w:pStyle w:val="Default"/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9B50C5">
              <w:rPr>
                <w:rFonts w:ascii="Times New Roman" w:hAnsi="Times New Roman" w:cs="Times New Roman"/>
              </w:rPr>
              <w:t xml:space="preserve">- формирование такого будущего, </w:t>
            </w:r>
            <w:r w:rsidRPr="009B50C5">
              <w:rPr>
                <w:rFonts w:ascii="Times New Roman" w:eastAsia="Times New Roman" w:hAnsi="Times New Roman" w:cs="Times New Roman"/>
              </w:rPr>
              <w:t xml:space="preserve">в котором авторам работ хотелось бы жить </w:t>
            </w:r>
            <w:r w:rsidRPr="009B50C5">
              <w:rPr>
                <w:rFonts w:ascii="Times New Roman" w:hAnsi="Times New Roman" w:cs="Times New Roman"/>
              </w:rPr>
              <w:t xml:space="preserve">самим, и которое, </w:t>
            </w:r>
            <w:r w:rsidRPr="009B50C5">
              <w:rPr>
                <w:rFonts w:ascii="Times New Roman" w:hAnsi="Times New Roman" w:cs="Times New Roman"/>
                <w:iCs/>
                <w:spacing w:val="-2"/>
              </w:rPr>
              <w:t>по их мнению, будет соответствовать запросам нынешних и потребностям будущих поколений</w:t>
            </w:r>
            <w:r w:rsidR="009B50C5">
              <w:rPr>
                <w:rFonts w:ascii="Times New Roman" w:hAnsi="Times New Roman" w:cs="Times New Roman"/>
                <w:iCs/>
                <w:spacing w:val="-2"/>
              </w:rPr>
              <w:t>.</w:t>
            </w:r>
            <w:r w:rsidRPr="009B50C5">
              <w:rPr>
                <w:spacing w:val="2"/>
                <w:shd w:val="clear" w:color="auto" w:fill="FFFFFF"/>
              </w:rPr>
              <w:t xml:space="preserve"> </w:t>
            </w:r>
          </w:p>
        </w:tc>
      </w:tr>
    </w:tbl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V.ТРЕБОВАНИЯ К УЧАСТНИКАМ КОНКУРСА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конкурсе приглашаются молодые люди – школьники и студенты в возрасте от 16 до 26 лет осуществляющие научные исследования, научно-практические и инженерные проектирования и/или научно-фантастическое литературное творчество в предметной области Конкурса.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участия в конкурсе школьники и студенты представляют: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Научные, научно-практические работы, подготовленные индивидуально или в соавторстве, но не более 3-х соавторов;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Научно-фантасти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работы, подготовленные индивидуально.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VI.ТРЕБОВАНИЯ К ОФОРМЛЕНИЮ НАУЧНЫХ И НАУЧНО-ПРАКТИЧЕСКИХ РАБОТ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Научные, научно-практические работы предоставляются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профильных направлений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файлов MS Word в форматах .doc или .docx.;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русском или английском языках.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печатный объём не менее 5 и не более 36 тысяч знаков, включая пробелы, размер шрифта - 14 пт., межстрочный интервал - 1.5. Работы большего объема отклоняются;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иллюстративные материалы – по совокупности не более 3-х листов формата А4, при превышении объема иллюстративные материалы рекомендуется вынести в отдельное приложение;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принимаются по желанию автора/соавторов материалы в форме включения видео, анимации, флеш-презентации, слайд-шоу, инфографики, любых других жанров и форматов для визуализации научной работы;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материалов для визуализации научной работы в любых жанрах и форматах не может превышать 25 МБ. Работы большего объема отклоняются.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Научная работа должна содержать следующие разделы: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-титульный лист, на котором указывается только тема научной работы (без указания сведений об авторе/авторах, научном руководителе (если имеется) и месте учебы или работы);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-введение, которое должно содержать оценку современного состояния рассматриваемой темы в рамках выбранного направления, актуальность и научную новизну, цели и задачи реализованного прогнозирования;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-основная часть, в которой приводятся данные, отражающие сущность работы, обоснование выбранных методов решения задач, описание сформированной научной гипотезы;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-заключение, в котором указываются краткие выводы по результатам проведенного научного исследования;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использованных источников;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приложения.</w:t>
      </w:r>
    </w:p>
    <w:p w:rsidR="00276303" w:rsidRPr="004A3D60" w:rsidRDefault="00E36D79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276303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представленные на конкурс должна быть оригинальными.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произведения, опубликованные или находящиеся на рассмотрения в издательствах или журналах. Плагиат в конкурсной работе не допустим.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вправе не принимать работы, не соответствующие требованиям, отраженным в настоящем Положении, о чем Участникам в течение 7 рабочих дней со дня подачи научной работы направляются сообщения. При этом данные Участники не лишаются права подать работу повторно, если срок приема заявок на Конкурс не истек.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VII.ТРЕБОВАНИЯ К ОФОРМЛЕНИЮ НАУЧНО-ФАНТАСТИЧЕСКИХ РАБОТ</w:t>
      </w:r>
    </w:p>
    <w:p w:rsidR="00276303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6D79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аучно-фантастические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54025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C5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профильных направлений</w:t>
      </w:r>
      <w:r w:rsidR="00C54025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файлов MS Word в форматах .doc или .docx.;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русском или английском языках;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печатный̆ объём работ не менее 3,6 и не более 36 тысяч знаков, включая пробелы, размер шрифта - 14 пт., межстрочный интервал - 1.5. Работы большего объема отклоняются;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иллюстративные материалы - с включением по желанию автора/соавторов иллюстраций в формате оригинальных фотографий, фотоколлажей, рисунков, гравюр или других изображений, поясняющих текст литературного произведения по совокупности не более 3-х листов формата А4;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B1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6D79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аучно-фантастическ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36D79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включать следующие разделы: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-титульный лист, на котором указывается только название произведения (без указания сведений об авторе/авторах и месте учебы или работы);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вступительная часть – предисловие, обращение автора, от автора, пролог и т.д., в котором автор (соавторы) обращается к читателю, сообщает несколько слов о себе и какие ставились цели при написании произведения, описывает историю его создания и какие-то особенности, с которыми пришлось столкнуться во время работы, подчеркивает, какую реакцию он ожидает от читателей;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-основная часть – текст самого произведения - эссе, написанного в жанре научной фантастики о будущем планеты и человечества на рубеже 2100 года. Чисто реалистические произведения, без наличия научно-фантастической составляющей, к рассмотрению не принимаются.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-заключительная часть - послесловие, эпилог, постскриптум и т.д. – на усмотрение автора (соавторов), в которой представляются краткие выводы, или собственное видение произведения и представление о затрагиваемых в нем научно-фантастических темах и аспектах, дополнения, которые, по мнению автора (авторов), нельзя включить в основную часть произведения.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использованных источников, обосновывающих научное объяснение представленных в произведении фантастических событий, явлений и процессов.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Работы, представленные на конкурс должна быть оригинальными.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произведения, опубликованные или находящиеся на рассмотрения в издательствах или журналах. Плагиат в конкурсной работе не допустим.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VIII.ПОРЯДОК ПРЕДСТАВЛЕНИЯ НАУЧНЫХ И НАУЧНО-ФАНТАСТИЧЕСКИХ РАБОТ НА КОНКУРС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Пакет документов, предоставляемый на конкурс, должен включать: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анкету участника конкурса с указанием направления конкурса, номинации, сведений об авторе /авторах и научном руководителе (если имеется);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научную или 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6D79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аучно-фантасти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работу.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Оргкомитет вправе не принять научные и творческие работы, не соответствующие требованиям, отраженным в настоящем Положении, о чем Участникам в течение 7 рабочих дней со дня подачи работы направляются сообщения. При этом данные Участники не лишаются права подать работу повторно, если срок приема заявок на Конкурс не истек.</w:t>
      </w:r>
    </w:p>
    <w:p w:rsidR="00E36D79" w:rsidRDefault="00276303" w:rsidP="00E36D79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ОЦЕНКИ НАУЧНЫХ И НАУЧНО-ФАНТАСТИЧЕСКИХ РАБОТ</w:t>
      </w:r>
    </w:p>
    <w:p w:rsidR="00276303" w:rsidRPr="004A3D60" w:rsidRDefault="00276303" w:rsidP="00BE3BD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Оценка научных, научно-практических и научных работ проводится отдельно по каждому направлению и каждой номинации в порядке, установленном в данном разделе. 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Научные, научно-практические и 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6D79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аучно-фантастическ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представляются Оргкомитетом председателям специализированных эксперт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направлениями Конкурса.</w:t>
      </w:r>
    </w:p>
    <w:p w:rsidR="00C94E8F" w:rsidRDefault="00276303" w:rsidP="00BE3BD4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 w:rsidRPr="004A3D60">
        <w:rPr>
          <w:rFonts w:ascii="Times New Roman" w:eastAsia="Times New Roman" w:hAnsi="Times New Roman" w:cs="Times New Roman"/>
          <w:lang w:eastAsia="ru-RU"/>
        </w:rPr>
        <w:t>9.</w:t>
      </w:r>
      <w:r w:rsidR="00E36D79">
        <w:rPr>
          <w:rFonts w:ascii="Times New Roman" w:eastAsia="Times New Roman" w:hAnsi="Times New Roman" w:cs="Times New Roman"/>
          <w:lang w:eastAsia="ru-RU"/>
        </w:rPr>
        <w:t>3</w:t>
      </w:r>
      <w:r w:rsidRPr="004A3D60">
        <w:rPr>
          <w:rFonts w:ascii="Times New Roman" w:eastAsia="Times New Roman" w:hAnsi="Times New Roman" w:cs="Times New Roman"/>
          <w:lang w:eastAsia="ru-RU"/>
        </w:rPr>
        <w:t xml:space="preserve">. Эксперты оценивают работу по </w:t>
      </w:r>
      <w:r w:rsidR="00542392">
        <w:rPr>
          <w:rFonts w:ascii="Times New Roman" w:eastAsia="Times New Roman" w:hAnsi="Times New Roman" w:cs="Times New Roman"/>
          <w:lang w:eastAsia="ru-RU"/>
        </w:rPr>
        <w:t>сем</w:t>
      </w:r>
      <w:r w:rsidRPr="004A3D60">
        <w:rPr>
          <w:rFonts w:ascii="Times New Roman" w:eastAsia="Times New Roman" w:hAnsi="Times New Roman" w:cs="Times New Roman"/>
          <w:lang w:eastAsia="ru-RU"/>
        </w:rPr>
        <w:t>и критериям</w:t>
      </w:r>
      <w:r w:rsidR="00C94E8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94E8F" w:rsidRPr="00C94E8F">
        <w:rPr>
          <w:rFonts w:ascii="Times New Roman" w:eastAsia="Times New Roman" w:hAnsi="Times New Roman" w:cs="Times New Roman"/>
          <w:lang w:eastAsia="ru-RU"/>
        </w:rPr>
        <w:t xml:space="preserve">присваивая по каждому из них от 0 до 10 баллов (целым числом). </w:t>
      </w:r>
      <w:r w:rsidR="00C94E8F" w:rsidRPr="004A3D60">
        <w:rPr>
          <w:rFonts w:ascii="Times New Roman" w:eastAsia="Times New Roman" w:hAnsi="Times New Roman" w:cs="Times New Roman"/>
          <w:lang w:eastAsia="ru-RU"/>
        </w:rPr>
        <w:t xml:space="preserve">Каждая работа рассматривается и оценивается тремя экспертами независимо друг от друга. </w:t>
      </w:r>
      <w:r w:rsidR="00C94E8F">
        <w:rPr>
          <w:rFonts w:ascii="Times New Roman" w:eastAsia="Times New Roman" w:hAnsi="Times New Roman" w:cs="Times New Roman"/>
          <w:lang w:eastAsia="ru-RU"/>
        </w:rPr>
        <w:t xml:space="preserve">Также по желанию экспертов на каждую работу даются комментарии. </w:t>
      </w:r>
      <w:r w:rsidR="00C94E8F" w:rsidRPr="004A3D60">
        <w:rPr>
          <w:rFonts w:ascii="Times New Roman" w:eastAsia="Times New Roman" w:hAnsi="Times New Roman" w:cs="Times New Roman"/>
          <w:lang w:eastAsia="ru-RU"/>
        </w:rPr>
        <w:t xml:space="preserve">Если оценки </w:t>
      </w:r>
      <w:r w:rsidR="00C94E8F">
        <w:rPr>
          <w:rFonts w:ascii="Times New Roman" w:eastAsia="Times New Roman" w:hAnsi="Times New Roman" w:cs="Times New Roman"/>
          <w:lang w:eastAsia="ru-RU"/>
        </w:rPr>
        <w:t xml:space="preserve">одного из </w:t>
      </w:r>
      <w:r w:rsidR="00C94E8F" w:rsidRPr="004A3D60">
        <w:rPr>
          <w:rFonts w:ascii="Times New Roman" w:eastAsia="Times New Roman" w:hAnsi="Times New Roman" w:cs="Times New Roman"/>
          <w:lang w:eastAsia="ru-RU"/>
        </w:rPr>
        <w:t xml:space="preserve">экспертов существенно расходятся, председатель </w:t>
      </w:r>
      <w:r w:rsidR="00BD2FF7">
        <w:rPr>
          <w:rFonts w:ascii="Times New Roman" w:eastAsia="Times New Roman" w:hAnsi="Times New Roman" w:cs="Times New Roman"/>
          <w:lang w:eastAsia="ru-RU"/>
        </w:rPr>
        <w:t xml:space="preserve">Организационного комитета </w:t>
      </w:r>
      <w:r w:rsidR="00C94E8F" w:rsidRPr="004A3D60">
        <w:rPr>
          <w:rFonts w:ascii="Times New Roman" w:eastAsia="Times New Roman" w:hAnsi="Times New Roman" w:cs="Times New Roman"/>
          <w:lang w:eastAsia="ru-RU"/>
        </w:rPr>
        <w:t>принимает решение о дополнительной оценке работы други</w:t>
      </w:r>
      <w:r w:rsidR="00C94E8F">
        <w:rPr>
          <w:rFonts w:ascii="Times New Roman" w:eastAsia="Times New Roman" w:hAnsi="Times New Roman" w:cs="Times New Roman"/>
          <w:lang w:eastAsia="ru-RU"/>
        </w:rPr>
        <w:t>м</w:t>
      </w:r>
      <w:r w:rsidR="00C94E8F" w:rsidRPr="004A3D60">
        <w:rPr>
          <w:rFonts w:ascii="Times New Roman" w:eastAsia="Times New Roman" w:hAnsi="Times New Roman" w:cs="Times New Roman"/>
          <w:lang w:eastAsia="ru-RU"/>
        </w:rPr>
        <w:t xml:space="preserve"> эксперто</w:t>
      </w:r>
      <w:r w:rsidR="00C94E8F">
        <w:rPr>
          <w:rFonts w:ascii="Times New Roman" w:eastAsia="Times New Roman" w:hAnsi="Times New Roman" w:cs="Times New Roman"/>
          <w:lang w:eastAsia="ru-RU"/>
        </w:rPr>
        <w:t>м</w:t>
      </w:r>
      <w:r w:rsidR="00C94E8F" w:rsidRPr="004A3D60">
        <w:rPr>
          <w:rFonts w:ascii="Times New Roman" w:eastAsia="Times New Roman" w:hAnsi="Times New Roman" w:cs="Times New Roman"/>
          <w:lang w:eastAsia="ru-RU"/>
        </w:rPr>
        <w:t>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экспертизы 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закрепляются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экспертными протокол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подготовленным на основе экспертных заключений</w:t>
      </w:r>
      <w:r w:rsidR="009F2E8C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</w:t>
      </w:r>
      <w:r w:rsidR="009F2E8C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BD2FF7" w:rsidRPr="00BD2F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FF7">
        <w:rPr>
          <w:rFonts w:ascii="Times New Roman" w:eastAsia="Times New Roman" w:hAnsi="Times New Roman" w:cs="Times New Roman"/>
          <w:lang w:eastAsia="ru-RU"/>
        </w:rPr>
        <w:t>Организационн</w:t>
      </w:r>
      <w:r w:rsidR="00BD2FF7">
        <w:rPr>
          <w:rFonts w:ascii="Times New Roman" w:eastAsia="Times New Roman" w:hAnsi="Times New Roman" w:cs="Times New Roman"/>
          <w:lang w:eastAsia="ru-RU"/>
        </w:rPr>
        <w:t>ого</w:t>
      </w:r>
      <w:r w:rsidR="00BD2FF7">
        <w:rPr>
          <w:rFonts w:ascii="Times New Roman" w:eastAsia="Times New Roman" w:hAnsi="Times New Roman" w:cs="Times New Roman"/>
          <w:lang w:eastAsia="ru-RU"/>
        </w:rPr>
        <w:t xml:space="preserve"> комитета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соответствующего направления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недели после завершения работы протоколы представляются</w:t>
      </w:r>
      <w:r w:rsidR="00BD2FF7" w:rsidRPr="00BD2F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FF7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BD2F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FF7">
        <w:rPr>
          <w:rFonts w:ascii="Times New Roman" w:eastAsia="Times New Roman" w:hAnsi="Times New Roman" w:cs="Times New Roman"/>
          <w:lang w:eastAsia="ru-RU"/>
        </w:rPr>
        <w:t>Организационного комитета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жюри Международного конкурса для подведения итогов и определения победителей.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привлеченных экспертов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проверяющих конкретные работы,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 и не разглашается. Отзывы экспертов не отправляются авторам.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экспертов конкурса не может быть оспорено участниками конкурса.</w:t>
      </w:r>
    </w:p>
    <w:p w:rsidR="00276303" w:rsidRPr="004A3D60" w:rsidRDefault="00E36D79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276303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Научные и творческие работы, в которых выявлен плагиат, исключаются из конкурса Оргкомитетом. Решение заносится в протокол оргкомитета.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6D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небольшом количестве (менее 9) или низком уровне представленных научных и научн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>о-фантастических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любо</w:t>
      </w:r>
      <w:r w:rsidR="00C94E8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профильном блоке-направлении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по согласованию с председателем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жюри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объявить Конкурс в этом направлении недействительным.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ПОРЯДОК ОПРЕДЕЛЕНИЯ ПОБЕДИТЕЛЕЙ КОНКУРСА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Подведение итогов Конкурса проводится Международным конкурсным жюри не позднее чем через неделю после представления протоколов.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Победители определяются на заседании Международного конкурсного жюри на основе средней оценки, выставленной экспертами, рассматривавшими данную работу.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По каждой номинации Конкурса в рамках одного 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Конкурса определяется не более трех научных и трех научно-фантастических работ, занявших с первого по третье место. Их авторы признаются победителями Конкурса.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Помимо победителей Международным конкурсным жюри по каждой номинации могут быть определены лауреаты Конкурса. Места работам лауреатов не присуждаются.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Результаты конкурса оформляются протоколом за подписью председателя Оргкомитета конкурса и Председателя Международного конкурсного жюри.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Список победителей и лауреатов конкурса размещается на сайтах Организаторов Конкурса, на сайтах информационных партнеров и в социальных сетях.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ХI.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И ЛАУРЕАТОВ КОНКУРСА</w:t>
      </w:r>
    </w:p>
    <w:p w:rsidR="00276303" w:rsidRPr="004A3D60" w:rsidRDefault="00276303" w:rsidP="00862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Победители и лауреаты Конкурса награждаются специальными дипломами.</w:t>
      </w:r>
    </w:p>
    <w:p w:rsidR="00276303" w:rsidRPr="004A3D60" w:rsidRDefault="00276303" w:rsidP="00862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Научные и </w:t>
      </w:r>
      <w:r w:rsidR="00035204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о-фантастические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победителей Конкурса публикуются в Интернет-сборнике научных работ и </w:t>
      </w:r>
      <w:r w:rsidR="00035204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Альманахе научно-фантастических </w:t>
      </w:r>
      <w:r w:rsidR="00035204"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276303" w:rsidRDefault="00276303" w:rsidP="00862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Работы не возвращаются участникам Конкурса.</w:t>
      </w:r>
    </w:p>
    <w:p w:rsidR="00862A69" w:rsidRDefault="00862A69" w:rsidP="00862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A69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участники Конкурса получают сертификаты (кроме тех, кто прислал работы, содержащие плагиат и / или не соответствующие условиям, номинациям и направлениям Конкурса).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ХII. АВТОРСКИЕ ПРАВА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Присылая свою работу на конкурс, авторы дают право Оргкомитету конкурса на использование присланного материала и указанных автором персональных данных в некоммерческих целях (размещение в Интернете, в печатных изданиях, на выставочных стендах).</w:t>
      </w:r>
    </w:p>
    <w:p w:rsidR="00276303" w:rsidRPr="004A3D60" w:rsidRDefault="00276303" w:rsidP="0027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ХIII.</w:t>
      </w: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</w:p>
    <w:p w:rsidR="00276303" w:rsidRPr="004A3D60" w:rsidRDefault="00276303" w:rsidP="00BE3B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условия, указанные в данном Положении, являются публичной офертой. Согласно ГК РФ Статья 435:</w:t>
      </w:r>
    </w:p>
    <w:p w:rsidR="00276303" w:rsidRPr="004A3D60" w:rsidRDefault="00276303" w:rsidP="00BE3B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276303" w:rsidRPr="004A3D60" w:rsidRDefault="00276303" w:rsidP="00BE3B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должна содержать существенные условия договора.</w:t>
      </w:r>
    </w:p>
    <w:p w:rsidR="00276303" w:rsidRPr="004A3D60" w:rsidRDefault="00276303" w:rsidP="00BE3B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связывает направившее ее лицо с момента ее получения адресатом.</w:t>
      </w:r>
    </w:p>
    <w:p w:rsidR="00276303" w:rsidRPr="004A3D60" w:rsidRDefault="00276303" w:rsidP="00BE3B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извещение об отзыве оферты поступило ранее или одновременно с самой офертой, оферта считается не полученной.</w:t>
      </w:r>
    </w:p>
    <w:p w:rsidR="00276303" w:rsidRPr="00035204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ХIV. СРОКИ ПРОВЕДЕНИЯ КОНКУРСА</w:t>
      </w:r>
      <w:r w:rsid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204" w:rsidRPr="0003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ГОДУ:</w:t>
      </w:r>
    </w:p>
    <w:p w:rsidR="00A869E0" w:rsidRPr="009971F1" w:rsidRDefault="00276303" w:rsidP="00BE3BD4">
      <w:pPr>
        <w:pStyle w:val="a3"/>
        <w:jc w:val="both"/>
      </w:pPr>
      <w:r w:rsidRPr="004A3D60">
        <w:t xml:space="preserve">- </w:t>
      </w:r>
      <w:bookmarkStart w:id="0" w:name="_GoBack"/>
      <w:r w:rsidRPr="009971F1">
        <w:t>Прием работ:</w:t>
      </w:r>
      <w:r w:rsidR="009F2E8C" w:rsidRPr="009971F1">
        <w:t xml:space="preserve"> 1 </w:t>
      </w:r>
      <w:r w:rsidR="00035204" w:rsidRPr="009971F1">
        <w:t>марта</w:t>
      </w:r>
      <w:r w:rsidR="009F2E8C" w:rsidRPr="009971F1">
        <w:t xml:space="preserve"> – 31 ма</w:t>
      </w:r>
      <w:r w:rsidR="00035204" w:rsidRPr="009971F1">
        <w:t>я</w:t>
      </w:r>
      <w:r w:rsidR="00A869E0" w:rsidRPr="009971F1">
        <w:t xml:space="preserve"> </w:t>
      </w:r>
      <w:r w:rsidR="00A869E0" w:rsidRPr="009971F1">
        <w:rPr>
          <w:rStyle w:val="a4"/>
        </w:rPr>
        <w:t>(включительно).</w:t>
      </w:r>
    </w:p>
    <w:p w:rsidR="00276303" w:rsidRPr="009971F1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работ - с 1</w:t>
      </w:r>
      <w:r w:rsidR="009F2E8C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204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35204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</w:t>
      </w:r>
      <w:r w:rsidR="00035204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76303" w:rsidRPr="009971F1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Подведение итогов Конкурса, определение работ-финалистов, занявших призовые I, II, III места и объявление победителей – </w:t>
      </w:r>
      <w:r w:rsidR="00035204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035204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035204"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D73DA" w:rsidRPr="009971F1" w:rsidRDefault="002D73DA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Международный молодежный форум «ОБРАЗ БУДУЩЕГО, КОТОРОЕ МЫ ХОТИМ: ФОРСАЙТ 2100», где пройдет награждение победителей, запланирован на 23-26 августа 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года. Однако возможен перенос форума на </w:t>
      </w: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– октябрь. Подтверждение точных данных о проведении Форума будет </w:t>
      </w: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объявлено после прояснения ситуации с открытием границ и снятием ограничений, связанных с пандемией COVID-19.</w:t>
      </w:r>
    </w:p>
    <w:p w:rsidR="00035204" w:rsidRPr="009971F1" w:rsidRDefault="00035204" w:rsidP="00BE3BD4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Подать работу на конкурс, ознакомиться с Условиями участия, Направления конкурса — 2021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Рекомендациями по оформлению НАУЧНЫХ И НАУЧНО-ПРАКТИЧЕСКИХ РАБОТ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Рекомендациями по оформлению ТВОРЧЕСКИХ РАБОТ</w:t>
      </w:r>
      <w:r w:rsidRPr="009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по ссылке: </w:t>
      </w:r>
      <w:hyperlink r:id="rId12" w:history="1">
        <w:r w:rsidRPr="009971F1">
          <w:rPr>
            <w:rStyle w:val="a6"/>
            <w:rFonts w:ascii="Times New Roman" w:hAnsi="Times New Roman" w:cs="Times New Roman"/>
            <w:sz w:val="24"/>
            <w:szCs w:val="24"/>
          </w:rPr>
          <w:t>http://www.futurible.space/ru/project/horizon-2021/</w:t>
        </w:r>
      </w:hyperlink>
    </w:p>
    <w:bookmarkEnd w:id="0"/>
    <w:p w:rsidR="00276303" w:rsidRPr="004A3D60" w:rsidRDefault="00276303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ХV. КОНТАКТНАЯ ИНФОРМАЦИЯ </w:t>
      </w:r>
    </w:p>
    <w:p w:rsidR="009F2E8C" w:rsidRPr="00035204" w:rsidRDefault="009F2E8C" w:rsidP="00BE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сайте</w:t>
      </w:r>
      <w:r w:rsidRPr="00035204">
        <w:rPr>
          <w:rFonts w:ascii="Times New Roman" w:hAnsi="Times New Roman" w:cs="Times New Roman"/>
          <w:sz w:val="24"/>
          <w:szCs w:val="24"/>
        </w:rPr>
        <w:t xml:space="preserve"> </w:t>
      </w:r>
      <w:r w:rsidRPr="0003520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http://www.futuruble.space</w:t>
      </w:r>
    </w:p>
    <w:p w:rsidR="00035204" w:rsidRPr="00035204" w:rsidRDefault="00035204" w:rsidP="00BE3BD4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следите за новостями в официальных группах в социальных сетях: </w:t>
      </w:r>
    </w:p>
    <w:p w:rsidR="00035204" w:rsidRPr="00035204" w:rsidRDefault="00035204" w:rsidP="00BE3BD4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5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VK: </w:t>
      </w:r>
      <w:hyperlink r:id="rId13" w:history="1">
        <w:r w:rsidRPr="000352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https://vk.com/futuriblespace</w:t>
        </w:r>
      </w:hyperlink>
      <w:r w:rsidRPr="00035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4" w:history="1">
        <w:r w:rsidRPr="000352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https://vk.com/public185555977</w:t>
        </w:r>
      </w:hyperlink>
    </w:p>
    <w:p w:rsidR="00035204" w:rsidRPr="00035204" w:rsidRDefault="00035204" w:rsidP="00BE3BD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5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FB: </w:t>
      </w:r>
      <w:hyperlink r:id="rId15" w:history="1">
        <w:r w:rsidRPr="000352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https://www.facebook.com/futurible.space/</w:t>
        </w:r>
      </w:hyperlink>
      <w:r w:rsidRPr="00035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035204" w:rsidRPr="00035204" w:rsidRDefault="00A86AC2" w:rsidP="00BE3BD4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="00035204" w:rsidRPr="000352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https://www.facebook.com/groups/587152261775768</w:t>
        </w:r>
      </w:hyperlink>
    </w:p>
    <w:p w:rsidR="00035204" w:rsidRPr="00035204" w:rsidRDefault="00035204" w:rsidP="00BE3BD4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участия и сотрудничества на русском языке просим обращаться на почту — </w:t>
      </w:r>
      <w:r w:rsidRPr="0003520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horizon2100@futurible.space</w:t>
      </w:r>
    </w:p>
    <w:p w:rsidR="00035204" w:rsidRPr="00035204" w:rsidRDefault="00035204" w:rsidP="00BE3BD4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участия и сотрудничества на английском языке просим обращаться на почту — </w:t>
      </w:r>
      <w:r w:rsidRPr="0003520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contest2100@futurible.space</w:t>
      </w:r>
    </w:p>
    <w:p w:rsidR="00B22685" w:rsidRPr="004A3D60" w:rsidRDefault="00B22685" w:rsidP="00035204">
      <w:pPr>
        <w:rPr>
          <w:rFonts w:ascii="Times New Roman" w:hAnsi="Times New Roman" w:cs="Times New Roman"/>
          <w:sz w:val="24"/>
          <w:szCs w:val="24"/>
        </w:rPr>
      </w:pPr>
    </w:p>
    <w:sectPr w:rsidR="00B22685" w:rsidRPr="004A3D6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C2" w:rsidRDefault="00A86AC2" w:rsidP="00035204">
      <w:pPr>
        <w:spacing w:after="0" w:line="240" w:lineRule="auto"/>
      </w:pPr>
      <w:r>
        <w:separator/>
      </w:r>
    </w:p>
  </w:endnote>
  <w:endnote w:type="continuationSeparator" w:id="0">
    <w:p w:rsidR="00A86AC2" w:rsidRDefault="00A86AC2" w:rsidP="000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392040"/>
      <w:docPartObj>
        <w:docPartGallery w:val="Page Numbers (Bottom of Page)"/>
        <w:docPartUnique/>
      </w:docPartObj>
    </w:sdtPr>
    <w:sdtEndPr/>
    <w:sdtContent>
      <w:p w:rsidR="00035204" w:rsidRDefault="000352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C2">
          <w:rPr>
            <w:noProof/>
          </w:rPr>
          <w:t>1</w:t>
        </w:r>
        <w:r>
          <w:fldChar w:fldCharType="end"/>
        </w:r>
      </w:p>
    </w:sdtContent>
  </w:sdt>
  <w:p w:rsidR="00035204" w:rsidRDefault="00035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C2" w:rsidRDefault="00A86AC2" w:rsidP="00035204">
      <w:pPr>
        <w:spacing w:after="0" w:line="240" w:lineRule="auto"/>
      </w:pPr>
      <w:r>
        <w:separator/>
      </w:r>
    </w:p>
  </w:footnote>
  <w:footnote w:type="continuationSeparator" w:id="0">
    <w:p w:rsidR="00A86AC2" w:rsidRDefault="00A86AC2" w:rsidP="0003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FB4"/>
    <w:multiLevelType w:val="multilevel"/>
    <w:tmpl w:val="5F9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026CA"/>
    <w:multiLevelType w:val="hybridMultilevel"/>
    <w:tmpl w:val="2F8C61C2"/>
    <w:lvl w:ilvl="0" w:tplc="0419000D">
      <w:start w:val="1"/>
      <w:numFmt w:val="bullet"/>
      <w:lvlText w:val=""/>
      <w:lvlJc w:val="left"/>
      <w:pPr>
        <w:ind w:left="10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hint="default"/>
      </w:rPr>
    </w:lvl>
  </w:abstractNum>
  <w:abstractNum w:abstractNumId="2" w15:restartNumberingAfterBreak="0">
    <w:nsid w:val="22B06410"/>
    <w:multiLevelType w:val="hybridMultilevel"/>
    <w:tmpl w:val="020011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5A599A"/>
    <w:multiLevelType w:val="multilevel"/>
    <w:tmpl w:val="5766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C3448"/>
    <w:multiLevelType w:val="multilevel"/>
    <w:tmpl w:val="CEB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93DD3"/>
    <w:multiLevelType w:val="multilevel"/>
    <w:tmpl w:val="0A5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03"/>
    <w:rsid w:val="00035204"/>
    <w:rsid w:val="00241983"/>
    <w:rsid w:val="00244AE8"/>
    <w:rsid w:val="00276303"/>
    <w:rsid w:val="002D73DA"/>
    <w:rsid w:val="003407BE"/>
    <w:rsid w:val="003B2B0F"/>
    <w:rsid w:val="004A3D60"/>
    <w:rsid w:val="00542392"/>
    <w:rsid w:val="005F0078"/>
    <w:rsid w:val="006669AA"/>
    <w:rsid w:val="0067701B"/>
    <w:rsid w:val="007515D6"/>
    <w:rsid w:val="00862A69"/>
    <w:rsid w:val="009971F1"/>
    <w:rsid w:val="009B24AF"/>
    <w:rsid w:val="009B50C5"/>
    <w:rsid w:val="009F2E8C"/>
    <w:rsid w:val="00A869E0"/>
    <w:rsid w:val="00A86AC2"/>
    <w:rsid w:val="00B22685"/>
    <w:rsid w:val="00B76E06"/>
    <w:rsid w:val="00BD2FF7"/>
    <w:rsid w:val="00BE3BD4"/>
    <w:rsid w:val="00C54025"/>
    <w:rsid w:val="00C63FE5"/>
    <w:rsid w:val="00C94E8F"/>
    <w:rsid w:val="00E36D79"/>
    <w:rsid w:val="00EB1F0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008"/>
  <w15:chartTrackingRefBased/>
  <w15:docId w15:val="{966564F8-15C6-4A3F-AC8F-6102FF3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D60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303"/>
    <w:rPr>
      <w:b/>
      <w:bCs/>
    </w:rPr>
  </w:style>
  <w:style w:type="character" w:styleId="a5">
    <w:name w:val="Emphasis"/>
    <w:basedOn w:val="a0"/>
    <w:uiPriority w:val="20"/>
    <w:qFormat/>
    <w:rsid w:val="00276303"/>
    <w:rPr>
      <w:i/>
      <w:iCs/>
    </w:rPr>
  </w:style>
  <w:style w:type="character" w:styleId="a6">
    <w:name w:val="Hyperlink"/>
    <w:basedOn w:val="a0"/>
    <w:uiPriority w:val="99"/>
    <w:semiHidden/>
    <w:unhideWhenUsed/>
    <w:rsid w:val="002763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3D6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aliases w:val="1,UL,Абзац маркированнный,Table-Normal,RSHB_Table-Normal"/>
    <w:basedOn w:val="a"/>
    <w:link w:val="ListParagraphChar"/>
    <w:rsid w:val="004A3D6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1 Char,UL Char,Абзац маркированнный Char,Table-Normal Char,RSHB_Table-Normal Char"/>
    <w:link w:val="11"/>
    <w:locked/>
    <w:rsid w:val="004A3D6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A3D60"/>
    <w:pPr>
      <w:ind w:left="720"/>
      <w:contextualSpacing/>
    </w:pPr>
  </w:style>
  <w:style w:type="table" w:styleId="a8">
    <w:name w:val="Table Grid"/>
    <w:basedOn w:val="a1"/>
    <w:uiPriority w:val="39"/>
    <w:rsid w:val="0024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AE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204"/>
  </w:style>
  <w:style w:type="paragraph" w:styleId="ab">
    <w:name w:val="footer"/>
    <w:basedOn w:val="a"/>
    <w:link w:val="ac"/>
    <w:uiPriority w:val="99"/>
    <w:unhideWhenUsed/>
    <w:rsid w:val="0003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teoriya-i-praktika-obschestvennogo-razvitiya" TargetMode="External"/><Relationship Id="rId13" Type="http://schemas.openxmlformats.org/officeDocument/2006/relationships/hyperlink" Target="https://vk.com/futuriblespa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1%82%D0%BD%D0%BE%D0%B3%D1%80%D0%B0%D1%84%D0%B8%D1%8F" TargetMode="External"/><Relationship Id="rId12" Type="http://schemas.openxmlformats.org/officeDocument/2006/relationships/hyperlink" Target="http://www.futurible.space/ru/project/horizon-202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5871522617757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D%D0%B5%D1%80%D0%B3%D0%B5%D1%82%D0%B8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uturible.space/" TargetMode="External"/><Relationship Id="rId10" Type="http://schemas.openxmlformats.org/officeDocument/2006/relationships/hyperlink" Target="https://ru.wikipedia.org/wiki/%D0%AD%D0%BD%D0%B5%D1%80%D0%B3%D0%B5%D1%82%D0%B8%D0%BA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4" Type="http://schemas.openxmlformats.org/officeDocument/2006/relationships/hyperlink" Target="https://vk.com/public185555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3429</Words>
  <Characters>19550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Международные отношения, международное сотрудничество, международная безопасно</vt:lpstr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2020-11-20T20:47:00Z</dcterms:created>
  <dcterms:modified xsi:type="dcterms:W3CDTF">2021-03-02T19:51:00Z</dcterms:modified>
</cp:coreProperties>
</file>