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sz w:val="22"/>
          <w:szCs w:val="22"/>
        </w:rPr>
        <w:id w:val="-1916231623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b/>
          <w:sz w:val="24"/>
          <w:szCs w:val="24"/>
        </w:rPr>
      </w:sdtEndPr>
      <w:sdtContent>
        <w:p w:rsidR="009E65CE" w:rsidRDefault="009E65CE" w:rsidP="009E65CE">
          <w:pPr>
            <w:pStyle w:val="2"/>
            <w:spacing w:before="200" w:line="360" w:lineRule="auto"/>
            <w:jc w:val="center"/>
          </w:pPr>
        </w:p>
        <w:p w:rsidR="009E65CE" w:rsidRDefault="009E65CE" w:rsidP="009E65CE">
          <w:pPr>
            <w:pStyle w:val="2"/>
            <w:spacing w:before="200" w:line="360" w:lineRule="auto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</w:p>
        <w:p w:rsidR="009E65CE" w:rsidRDefault="009E65CE" w:rsidP="009E65CE">
          <w:pPr>
            <w:pStyle w:val="2"/>
            <w:spacing w:before="200" w:line="360" w:lineRule="auto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</w:p>
        <w:p w:rsidR="009E65CE" w:rsidRDefault="009E65CE" w:rsidP="009E65CE">
          <w:pPr>
            <w:pStyle w:val="2"/>
            <w:spacing w:before="200" w:line="360" w:lineRule="auto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</w:p>
        <w:p w:rsidR="009E65CE" w:rsidRDefault="009E65CE" w:rsidP="009E65CE">
          <w:pPr>
            <w:pStyle w:val="2"/>
            <w:spacing w:before="200" w:line="360" w:lineRule="auto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</w:p>
        <w:p w:rsidR="009E65CE" w:rsidRDefault="009E65CE" w:rsidP="009E65CE">
          <w:pPr>
            <w:pStyle w:val="2"/>
            <w:spacing w:before="200" w:line="360" w:lineRule="auto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</w:p>
        <w:p w:rsidR="009E65CE" w:rsidRDefault="009E65CE" w:rsidP="009E65CE">
          <w:pPr>
            <w:pStyle w:val="2"/>
            <w:spacing w:before="200" w:line="360" w:lineRule="auto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</w:p>
        <w:p w:rsidR="009E65CE" w:rsidRDefault="009E65CE" w:rsidP="009E65CE">
          <w:pPr>
            <w:pStyle w:val="2"/>
            <w:spacing w:before="200" w:line="360" w:lineRule="auto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</w:p>
        <w:p w:rsidR="009E65CE" w:rsidRDefault="009E65CE" w:rsidP="009E65CE">
          <w:pPr>
            <w:pStyle w:val="2"/>
            <w:spacing w:before="200" w:line="360" w:lineRule="auto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</w:p>
        <w:p w:rsidR="009E65CE" w:rsidRPr="009E65CE" w:rsidRDefault="009E65CE" w:rsidP="009E65CE">
          <w:pPr>
            <w:pStyle w:val="2"/>
            <w:spacing w:before="200" w:line="360" w:lineRule="auto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 w:rsidRPr="009E65CE">
            <w:rPr>
              <w:rFonts w:ascii="Times New Roman" w:eastAsia="Times New Roman" w:hAnsi="Times New Roman" w:cs="Times New Roman"/>
              <w:b/>
              <w:sz w:val="28"/>
              <w:szCs w:val="28"/>
            </w:rPr>
            <w:t>ЭВОЛЮЦИЯ ДНЕВНОГО РАЦИОНА: ОТ МАКРО ДО МИКРО В ОДНОМ ФЛАКОНЕ</w:t>
          </w:r>
          <w:bookmarkStart w:id="0" w:name="_ptgqb9axf250" w:colFirst="0" w:colLast="0"/>
          <w:bookmarkStart w:id="1" w:name="_gq21bcru1y9x" w:colFirst="0" w:colLast="0"/>
          <w:bookmarkEnd w:id="0"/>
          <w:bookmarkEnd w:id="1"/>
        </w:p>
        <w:p w:rsidR="009E65CE" w:rsidRPr="009E65CE" w:rsidRDefault="009E65CE" w:rsidP="009E65CE">
          <w:pPr>
            <w:jc w:val="center"/>
            <w:rPr>
              <w:b/>
              <w:sz w:val="28"/>
              <w:szCs w:val="28"/>
            </w:rPr>
          </w:pPr>
        </w:p>
        <w:p w:rsidR="009E65CE" w:rsidRDefault="009E65CE">
          <w:pPr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br w:type="page"/>
          </w:r>
        </w:p>
      </w:sdtContent>
    </w:sdt>
    <w:p w:rsidR="009E65CE" w:rsidRPr="009E65CE" w:rsidRDefault="009E65CE" w:rsidP="009E65CE">
      <w:pPr>
        <w:rPr>
          <w:lang w:val="ru-RU"/>
        </w:rPr>
      </w:pPr>
    </w:p>
    <w:p w:rsidR="004C32E1" w:rsidRPr="009E65CE" w:rsidRDefault="0079442C">
      <w:pPr>
        <w:pStyle w:val="2"/>
        <w:spacing w:before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ВВЕДЕНИЕ:</w:t>
      </w:r>
    </w:p>
    <w:p w:rsidR="004C32E1" w:rsidRDefault="0079442C">
      <w:pPr>
        <w:spacing w:before="200"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Несбалансированное питание – одна из наиболее актуальных проблем современного общества, так как именно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этот аспект влияет на качество жизни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людей и ухудшает иммунные способности организма. Несбалансированный рацион обусловлен малым количеством фруктов, овощей, орехов, семян, цельного зерна, морепродуктов, содержащих омега-3 жирные кислоты, и большим содержанием натрия, генетически модифицированных и промышленно переработанных рафинированных продуктов, пищевых добавок, красителей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фастфуда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[1]. На данный момент рынок перенасыщен различными биодобавками, поэтому возникают трудности с осознанным выбором оптимального продукта, вследствие чего необходима разработка комплексного препарата, способного восполнить минимальную суточную потребность в питательных веществах. </w:t>
      </w:r>
    </w:p>
    <w:p w:rsidR="004C32E1" w:rsidRDefault="0079442C">
      <w:pPr>
        <w:spacing w:before="200" w:after="240"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Макро- и микроэлементы являются одними из важнейших веществ, поступающих с пищей, так как без них невозможно нормальное развитие организма [2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].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 нехватке даже одного нутриента биохимические или физиологические процессы могут замедляться или прекращаться, что отрицательно влияет на жизнедеятельность в целом. Причем обязательно наличие как макроэлементов, обеспечивающих человека энергией и являющихся строительным материалом для обновления клеточного состава органов и тканей, так и микроэлементов, которые участвуют в обменных и иммунных процессах [3]. </w:t>
      </w:r>
    </w:p>
    <w:p w:rsidR="004C32E1" w:rsidRDefault="0079442C">
      <w:pPr>
        <w:spacing w:before="200" w:after="240"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сегодняшний день многие люди не имеют возможности сбалансировано питаться ввиду отсутствия достаточного свободного времени, низкого качества продуктов питания, стрессовых обстоятельств жизни и финансовых вопросов [4,5].  А развитие концепции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fast-food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лишь усугубляет проблему, так как подобная пища не предоставляет набор веществ, в которых нуждается организм [6]. Обработка также снижает количество нужных организму макро- и микроэлементов. Так, например, термическая обработка пищи, являющаяся одной из основных, влияет на белковые структуры, нарушая их структуру и свойства, что приводит к снижению полезного воздействия еды [7]. Более того, некоторые сочетания продуктов могут не удовлетворять условиям для усвоения необходимых нутриентов [8]. Учитывая тот факт, что не все готовы тратить время на подбор нескольких добавок для коррекции суточного рациона,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создание единого продукта, объединяющего нутриенты, станет панацеей для мирового сообщества и позволит снизить заболеваемость за счет коррекции факторов риска и повышения защитной способности иммунной системы. </w:t>
      </w:r>
    </w:p>
    <w:p w:rsidR="004C32E1" w:rsidRDefault="0079442C">
      <w:pPr>
        <w:shd w:val="clear" w:color="auto" w:fill="FFFFFF"/>
        <w:spacing w:before="200" w:after="240"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уникальность данной работы состоит в разработке исчерпывающего состава пищевой биодобавки, которая будет включать в себя все нужные нутриенты в минимальной суточной дозе, дабы предотвратить болезни, ассоциированные с недостатком нутриентов. </w:t>
      </w:r>
    </w:p>
    <w:p w:rsidR="004C32E1" w:rsidRDefault="004C32E1">
      <w:pPr>
        <w:shd w:val="clear" w:color="auto" w:fill="FFFFFF"/>
        <w:spacing w:before="200" w:after="240" w:line="360" w:lineRule="auto"/>
        <w:ind w:firstLine="7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32E1" w:rsidRDefault="0079442C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ОСНОВНАЯ ЧАСТЬ:</w:t>
      </w:r>
    </w:p>
    <w:p w:rsidR="004C32E1" w:rsidRDefault="0079442C">
      <w:pPr>
        <w:numPr>
          <w:ilvl w:val="0"/>
          <w:numId w:val="1"/>
        </w:numPr>
        <w:shd w:val="clear" w:color="auto" w:fill="FFFFFF"/>
        <w:spacing w:before="200" w:after="24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Виды нутриентов и их функции в организме.</w:t>
      </w:r>
    </w:p>
    <w:p w:rsidR="004C32E1" w:rsidRDefault="0079442C">
      <w:pPr>
        <w:shd w:val="clear" w:color="auto" w:fill="FFFFFF"/>
        <w:spacing w:before="200" w:after="240" w:line="360" w:lineRule="auto"/>
        <w:ind w:left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1.1.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Макронутриенты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4C32E1" w:rsidRDefault="0079442C">
      <w:pPr>
        <w:shd w:val="clear" w:color="auto" w:fill="FFFFFF"/>
        <w:spacing w:before="200" w:after="24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Углеводы преобладают в рационе человека, так как являются основным источником энергии, а также входят в состав таких молекул как АТФ, ДНК и РНК [9]. Одним из сложно перевариваемых человеческим организмом углеводов является клетчатка, необходимая для снижения «плохого холестерина» в крови, регулирования перистальтики кишечника, поддержания его микрофлоры, участвующей в синтезе витаминов группы В и К [10].</w:t>
      </w:r>
    </w:p>
    <w:p w:rsidR="004C32E1" w:rsidRDefault="0079442C">
      <w:pPr>
        <w:shd w:val="clear" w:color="auto" w:fill="FFFFFF"/>
        <w:spacing w:before="200" w:after="24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Кроме углеводов важным источником энергии являются жиры, которые</w:t>
      </w:r>
      <w:r w:rsidR="009E65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помимо этого</w:t>
      </w:r>
      <w:r w:rsidR="009E65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также выполняют строительную функцию в клетках, а жирные кислоты, содержащиеся в липидах, используются при синтезе биологически активных веществ. Часть жирных кислот, например,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линолевая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9E65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𝛼-линоленовая кислоты, являются незаменимыми, поэтому необходимо обеспечить их доступ с пищей для полноценной работы организма. Эти кислоты выполняют следующие функции: снижают артериальное давление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счёт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уменьшения уровня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ангиотензинпревращающего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фермента в аорте, повышают чувствительность к инсулину и предотвращает гипергликемию, регулируют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липидныи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̆ обмен [11]. </w:t>
      </w:r>
    </w:p>
    <w:p w:rsidR="004C32E1" w:rsidRDefault="0079442C">
      <w:pPr>
        <w:shd w:val="clear" w:color="auto" w:fill="FFFFFF"/>
        <w:spacing w:before="200" w:after="24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Еще одним важным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макронутриентом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является белок, который в организме выполняет различные функции: ферментную, структурную, регуляторную, защитную, энергетическую, сигнальную, рецепторную и транспортную. Примечательно то, что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именно за счет белковой пищи человек может восполнить запас незаменимых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полузаменимых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аминокислот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эссенциальных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), которые не синтезируются организмом самостоятельно. Недостаточность их поступления приводит снижает когнитивную деятельность, повышает риск развития деменции, нарушению роста и развитию ребенка, снижению иммунного ответа [11-14]. Вследствие данной особенности необходимо обеспечивать их постоянное поступление в организм человека.</w:t>
      </w:r>
    </w:p>
    <w:p w:rsidR="004C32E1" w:rsidRDefault="004C32E1">
      <w:pPr>
        <w:shd w:val="clear" w:color="auto" w:fill="FFFFFF"/>
        <w:spacing w:before="200" w:after="240" w:line="360" w:lineRule="auto"/>
        <w:ind w:left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C32E1" w:rsidRDefault="0079442C">
      <w:pPr>
        <w:shd w:val="clear" w:color="auto" w:fill="FFFFFF"/>
        <w:spacing w:before="200" w:after="240" w:line="360" w:lineRule="auto"/>
        <w:ind w:left="720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1.2. Витамины.</w:t>
      </w:r>
    </w:p>
    <w:p w:rsidR="004C32E1" w:rsidRDefault="0079442C">
      <w:pPr>
        <w:shd w:val="clear" w:color="auto" w:fill="FFFFFF"/>
        <w:spacing w:before="200" w:after="24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Роль каждого витамина в организме индивидуальна.</w:t>
      </w:r>
    </w:p>
    <w:p w:rsidR="004C32E1" w:rsidRDefault="0079442C">
      <w:pPr>
        <w:shd w:val="clear" w:color="auto" w:fill="FFFFFF"/>
        <w:spacing w:before="200" w:after="24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Так, например, витамины A и D играют ключевую роль в поддержании желудочно-кишечного гомеостаза. Как эпителиальные, так и большое количество иммунных клеток желудочно-кишечного тракта экспрессируют рецепторы витаминов A и D [15]. Некоторые клинические данные показывают, что дети с достаточным количеством витамина А имеют более разнообразные микробные сообщества по сравнению с детьми с дефицитом витамина А [11].</w:t>
      </w:r>
    </w:p>
    <w:p w:rsidR="004C32E1" w:rsidRDefault="0079442C">
      <w:pPr>
        <w:shd w:val="clear" w:color="auto" w:fill="FFFFFF"/>
        <w:spacing w:before="200" w:after="24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Витамин С играет важную роль в регуляции когнитивных функций мозга, участвует в созревании и дифференцировке нейронов, в образовании миелина и модуляции </w:t>
      </w:r>
      <w:r w:rsidR="00BF74AD">
        <w:rPr>
          <w:rFonts w:ascii="Times New Roman" w:eastAsia="Times New Roman" w:hAnsi="Times New Roman" w:cs="Times New Roman"/>
          <w:sz w:val="24"/>
          <w:szCs w:val="24"/>
        </w:rPr>
        <w:t>холинергической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̆, катехолинергической и глутаминергической систем. Витамин В6, в свою очередь, участвуя в обмене веществ, влияет на функционирование центральной и периферической нервной системы. Витамин Е, известный своей антиоксидантной функцией, способствует еще </w:t>
      </w:r>
      <w:r w:rsidR="00BF74AD">
        <w:rPr>
          <w:rFonts w:ascii="Times New Roman" w:eastAsia="Times New Roman" w:hAnsi="Times New Roman" w:cs="Times New Roman"/>
          <w:sz w:val="24"/>
          <w:szCs w:val="24"/>
        </w:rPr>
        <w:t>и предотвращению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развития инфекций верхних дыхательных </w:t>
      </w:r>
      <w:r w:rsidR="00BF74AD">
        <w:rPr>
          <w:rFonts w:ascii="Times New Roman" w:eastAsia="Times New Roman" w:hAnsi="Times New Roman" w:cs="Times New Roman"/>
          <w:sz w:val="24"/>
          <w:szCs w:val="24"/>
        </w:rPr>
        <w:t>путей</w:t>
      </w:r>
      <w:r>
        <w:rPr>
          <w:rFonts w:ascii="Times New Roman" w:eastAsia="Times New Roman" w:hAnsi="Times New Roman" w:cs="Times New Roman"/>
          <w:sz w:val="24"/>
          <w:szCs w:val="24"/>
        </w:rPr>
        <w:t>̆, а витамин К необходим для синтеза белков, которые отвечают за коагуляцию крови. Витамин В1, также известный как тиамин, после попадания в организм переходит в активную форму и участвует в метаболизме углеводов и аминокислот [15].</w:t>
      </w:r>
    </w:p>
    <w:p w:rsidR="004C32E1" w:rsidRDefault="0079442C">
      <w:pPr>
        <w:shd w:val="clear" w:color="auto" w:fill="FFFFFF"/>
        <w:spacing w:before="200" w:after="24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Витамин В12 необходим для метаболизма жирных кислот и кетогенных аминокислот, что обуславливает его необходимость для поддержания постоянства всех метаболических процессов организма. Рибофлавин, или же витамин В2, тоже является коферментом для многих биохимических процессов. А репликация ДНК, которая лежит в основе сохранения и передачи генетической информации между клетками, происходит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 участии фолиевой кислоты (витамин В9), недостаток которой увеличит вероятность появления раковых клеток [15].</w:t>
      </w:r>
    </w:p>
    <w:p w:rsidR="004C32E1" w:rsidRDefault="0079442C">
      <w:pPr>
        <w:shd w:val="clear" w:color="auto" w:fill="FFFFFF"/>
        <w:spacing w:before="200" w:after="24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Никотиновая кислота, также известная как ниацин, принимает участие в окислительно-восстановительных реакциях организма и других обменных процессах. Холин же на сегодняшний день не относят к витаминам, но нельзя отрицать тот факт, что его роль для организма колоссальна: он принимает участие в биосинтезе фосфолипидов, бетаина, а также одного из нейромедиаторов – ацетилхолина. [15]</w:t>
      </w:r>
    </w:p>
    <w:p w:rsidR="004C32E1" w:rsidRDefault="0079442C">
      <w:pPr>
        <w:shd w:val="clear" w:color="auto" w:fill="FFFFFF"/>
        <w:spacing w:before="200" w:after="24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Пантотеновая кислота, или же витамин В5, при попадании в организм превращается в пантетин, который входит в состав кофермента А, необходимого в метаболизме жиров, белков и углеводов. Еще одним коферментом, участвующем в регуляции жирового и белкового баланса является витамин В7 или биотин [15]. </w:t>
      </w:r>
    </w:p>
    <w:p w:rsidR="004C32E1" w:rsidRDefault="004C32E1">
      <w:pPr>
        <w:shd w:val="clear" w:color="auto" w:fill="FFFFFF"/>
        <w:spacing w:before="200" w:after="24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32E1" w:rsidRDefault="0079442C">
      <w:pPr>
        <w:shd w:val="clear" w:color="auto" w:fill="FFFFFF"/>
        <w:spacing w:before="200" w:after="240" w:line="36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1.3. Минералы.</w:t>
      </w:r>
    </w:p>
    <w:p w:rsidR="004C32E1" w:rsidRDefault="0079442C">
      <w:pPr>
        <w:shd w:val="clear" w:color="auto" w:fill="FFFFFF"/>
        <w:spacing w:before="200" w:after="24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Важную роль для человеческого организма играют и различные минералы. К примеру, кальций, натрий, калий и хлор являются внутриклеточными посредниками, которые отвечают за различные процессы: поддержание клеточного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гомеостаза,  сокращение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мышечных клеток, секрецию нейромедиаторов и гормонов.[16]</w:t>
      </w:r>
    </w:p>
    <w:p w:rsidR="004C32E1" w:rsidRDefault="0079442C">
      <w:pPr>
        <w:shd w:val="clear" w:color="auto" w:fill="FFFFFF"/>
        <w:spacing w:before="200" w:after="24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Хром участвует в процессах метаболизма, медь регулирует активность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хондро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 и остеобластов, а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дефицит цинка приводит к нарушению пролиферации, дифференцировки и активации лимфоцитов [11].</w:t>
      </w:r>
    </w:p>
    <w:p w:rsidR="004C32E1" w:rsidRDefault="0079442C">
      <w:pPr>
        <w:shd w:val="clear" w:color="auto" w:fill="FFFFFF"/>
        <w:spacing w:before="200" w:after="24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крепость и здоровье зубов отвечает фтор, а для синтеза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тиреоидных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гормонов щитовидной железе необходим йод.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Гем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являющийся структурной единицей гемоглобина, содержит железо. Магний является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кофактором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многих реакций, протекающих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 организме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 оказывает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нейропротективное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действие за счет воздействия на NMDA-рецепторы, а марганец оказывает влияние на состояние половых желез [16]. </w:t>
      </w:r>
    </w:p>
    <w:p w:rsidR="004C32E1" w:rsidRDefault="0079442C">
      <w:pPr>
        <w:shd w:val="clear" w:color="auto" w:fill="FFFFFF"/>
        <w:spacing w:before="200" w:after="24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Участие в обмене азота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организме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а также в тканевом дыхании принимает молибден, фосфор входит в состав фосфолипидов,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фосфопротеидов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других структурных молекул организма. Селен оказывает большое влияние на организм за счет помощи в усвоении йода и витамина Е [16]. </w:t>
      </w:r>
    </w:p>
    <w:p w:rsidR="004C32E1" w:rsidRDefault="004C32E1">
      <w:pPr>
        <w:shd w:val="clear" w:color="auto" w:fill="FFFFFF"/>
        <w:spacing w:before="200" w:after="24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32E1" w:rsidRDefault="0079442C">
      <w:pPr>
        <w:numPr>
          <w:ilvl w:val="0"/>
          <w:numId w:val="1"/>
        </w:numPr>
        <w:shd w:val="clear" w:color="auto" w:fill="FFFFFF"/>
        <w:spacing w:before="200" w:after="24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Анализ рациона современного человека. </w:t>
      </w:r>
    </w:p>
    <w:p w:rsidR="004C32E1" w:rsidRDefault="0079442C">
      <w:pPr>
        <w:spacing w:before="20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сегодняшний день исследования показывают, что люди не потребляют достаточного количества нутриентов с пищей и вынуждены дополнять рацион с помощью витаминных добавок для поддержания нормального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нутриентного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состава (см. Приложение Рис. 1) [17].</w:t>
      </w:r>
    </w:p>
    <w:p w:rsidR="004C32E1" w:rsidRDefault="0079442C">
      <w:pPr>
        <w:spacing w:before="20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Для решения </w:t>
      </w:r>
      <w:proofErr w:type="spellStart"/>
      <w:r w:rsidR="00BF74AD">
        <w:rPr>
          <w:rFonts w:ascii="Times New Roman" w:eastAsia="Times New Roman" w:hAnsi="Times New Roman" w:cs="Times New Roman"/>
          <w:sz w:val="24"/>
          <w:szCs w:val="24"/>
        </w:rPr>
        <w:t>вышеобозначенной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проблемы мы инициируем выполнение работы, сущность которой заключается в создании нутриент-концентрата ежедневного применения со всеми необходимыми для организма макро- и микроэлементами, что позволит скорректировать рацион и избавит от необходимости подбирать пищевые добавки в индивидуальном порядке. Но концентрация нутриентов будет </w:t>
      </w:r>
      <w:r w:rsidR="00BF74AD">
        <w:rPr>
          <w:rFonts w:ascii="Times New Roman" w:eastAsia="Times New Roman" w:hAnsi="Times New Roman" w:cs="Times New Roman"/>
          <w:sz w:val="24"/>
          <w:szCs w:val="24"/>
          <w:lang w:val="ru-RU"/>
        </w:rPr>
        <w:t>рассчитана по минимальной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суточной норм</w:t>
      </w:r>
      <w:r w:rsidR="00BF74A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во избежание гипервитаминоза, так как люди с пищей все равно употребляют некоторое количество нужных организму веществ. На основе этих заключений мы выдвигаем следующую гипотезу: если определить среднее значение нужных организму нутриентов в день, то сможем разработать требования к биохимическому составу пищевой добавки. </w:t>
      </w:r>
    </w:p>
    <w:p w:rsidR="004C32E1" w:rsidRDefault="0079442C">
      <w:pPr>
        <w:spacing w:before="20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Важно учесть, что рецепт нутриент-концентрата не может быть универсальным для всех людей, поэтому мы считаем рациональным разделять микс-пакеты на мужские и женские, а также по возрастным группам.</w:t>
      </w:r>
    </w:p>
    <w:p w:rsidR="004C32E1" w:rsidRDefault="0079442C">
      <w:pPr>
        <w:spacing w:before="20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качестве примера рассчитаем оптимальное значение нутриентов для мужчин и женщин в возрастной группе 20-30 лет. Подсчет основан на необходимом рационе для человека средних параметров: для мужчин - 25 лет, 179 см, 81 кг; для женщин - 25 лет, 166 см, 63 кг [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18] с низким уровнем физической активности</w:t>
      </w:r>
      <w:r w:rsidR="00BF74AD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(см. Приложение Таблицы 1-3). Данные, на основе которых рассчитывались дневные потребности всех элементов, получены с помощью DRI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Calculator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Healthcare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Professionals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[19].</w:t>
      </w:r>
    </w:p>
    <w:p w:rsidR="004C32E1" w:rsidRDefault="004C32E1">
      <w:pPr>
        <w:spacing w:before="20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32E1" w:rsidRPr="00BF74AD" w:rsidRDefault="0079442C" w:rsidP="00BF74AD">
      <w:pPr>
        <w:spacing w:before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74AD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ЗАКЛЮЧЕНИЕ:</w:t>
      </w:r>
    </w:p>
    <w:p w:rsidR="004C32E1" w:rsidRDefault="0079442C">
      <w:pPr>
        <w:spacing w:before="200"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Основываясь на полученных значениях суточной потребности в макро- и микронутриентах, можно разработать микс-концентрат, подходящий для употребления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людям, не следящим за своим рационом, имеющим проблемы с аппетитом или с восполнением количества нутриентов в связи с региональными и климатическими особенностями. Также значительным преимуществом является тот факт, что нет необходимости осуществлять индивидуальный подбор пищевых добавок, что экономит время и финансовые ресурсы каждого человека, не снижая при этом эффективности продукта. </w:t>
      </w:r>
    </w:p>
    <w:p w:rsidR="003163B8" w:rsidRPr="006308B1" w:rsidRDefault="003163B8">
      <w:pPr>
        <w:spacing w:before="200"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 массовом выпуске и хорошей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распространяемости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микс-концентрата к 2100 году ожидаются следующие улучшения: снизится риск заражения паразитарными, бактериальными и вирусными заболеваниями ввиду недостаточной обработки </w:t>
      </w:r>
      <w:r w:rsidR="006308B1">
        <w:rPr>
          <w:rFonts w:ascii="Times New Roman" w:eastAsia="Times New Roman" w:hAnsi="Times New Roman" w:cs="Times New Roman"/>
          <w:sz w:val="24"/>
          <w:szCs w:val="24"/>
          <w:lang w:val="ru-RU"/>
        </w:rPr>
        <w:t>пищи, улучшится социально-экономическое обеспечение неблагополучных регионов, а также  снизится уровень людей, страдающих ожирением, что является насущной</w:t>
      </w:r>
      <w:r w:rsidR="002B51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прогрессирующей</w:t>
      </w:r>
      <w:r w:rsidR="006308B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проблемой в современном мире </w:t>
      </w:r>
      <w:r w:rsidR="006308B1" w:rsidRPr="006308B1">
        <w:rPr>
          <w:rFonts w:ascii="Times New Roman" w:eastAsia="Times New Roman" w:hAnsi="Times New Roman" w:cs="Times New Roman"/>
          <w:sz w:val="24"/>
          <w:szCs w:val="24"/>
          <w:lang w:val="ru-RU"/>
        </w:rPr>
        <w:t>[20].</w:t>
      </w:r>
    </w:p>
    <w:p w:rsidR="004C32E1" w:rsidRDefault="0079442C">
      <w:pPr>
        <w:spacing w:before="200"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данный момент мы понимаем, что создать такой микс-концентрат с имеющимися технологиями затруднительно, ведь между некоторыми компонентами существует биохимическая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несочетаемость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не </w:t>
      </w:r>
      <w:r w:rsidR="00BF74AD">
        <w:rPr>
          <w:rFonts w:ascii="Times New Roman" w:eastAsia="Times New Roman" w:hAnsi="Times New Roman" w:cs="Times New Roman"/>
          <w:sz w:val="24"/>
          <w:szCs w:val="24"/>
        </w:rPr>
        <w:t>позволяющая объединить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нутриенты в один состав. Поэтому существует вероятность необходимости разделения полученной добавки на два пакета для утреннего и вечернего приема соответственно, чтобы устранить антагонистические влияния компонентов друг на друга. Также для простого употребления необходимо разработать удобную форму выпуска, например, в виде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дой</w:t>
      </w:r>
      <w:proofErr w:type="spellEnd"/>
      <w:r w:rsidR="00BF74AD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="00BF74AD">
        <w:rPr>
          <w:rFonts w:ascii="Times New Roman" w:eastAsia="Times New Roman" w:hAnsi="Times New Roman" w:cs="Times New Roman"/>
          <w:sz w:val="24"/>
          <w:szCs w:val="24"/>
        </w:rPr>
        <w:t>пака, чтобы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применение добавки не требовало специальных методов или особых условий. </w:t>
      </w:r>
    </w:p>
    <w:p w:rsidR="004C32E1" w:rsidRDefault="0079442C">
      <w:pPr>
        <w:spacing w:before="200"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систематическом употреблении этого продукта ожидается улучшение иммунных способности организма, что в свою очередь приведет к повышению качества жизни и снижению рисков развития заболеваний в популяции.</w:t>
      </w:r>
    </w:p>
    <w:p w:rsidR="009E65CE" w:rsidRDefault="009E65CE">
      <w:pPr>
        <w:spacing w:before="200"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65CE" w:rsidRDefault="009E65CE">
      <w:pPr>
        <w:spacing w:before="200"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65CE" w:rsidRDefault="009E65CE">
      <w:pPr>
        <w:spacing w:before="200"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74AD" w:rsidRDefault="00BF74AD" w:rsidP="002B518A">
      <w:pPr>
        <w:spacing w:before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518A" w:rsidRDefault="002B518A" w:rsidP="002B518A">
      <w:pPr>
        <w:spacing w:before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32E1" w:rsidRPr="009E65CE" w:rsidRDefault="0079442C">
      <w:pPr>
        <w:spacing w:before="200" w:line="360" w:lineRule="auto"/>
        <w:ind w:firstLine="70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СПИСОК</w:t>
      </w:r>
      <w:r w:rsidRPr="009E65C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ЛИТЕРАТУРЫ</w:t>
      </w:r>
      <w:r w:rsidRPr="009E65C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:</w:t>
      </w:r>
    </w:p>
    <w:p w:rsidR="004C32E1" w:rsidRPr="009E65CE" w:rsidRDefault="0079442C">
      <w:pPr>
        <w:shd w:val="clear" w:color="auto" w:fill="FFFFFF"/>
        <w:spacing w:before="200" w:after="240" w:line="360" w:lineRule="auto"/>
        <w:ind w:firstLine="70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E65CE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  <w:lang w:val="en-US"/>
        </w:rPr>
        <w:t xml:space="preserve">[1] - </w:t>
      </w:r>
      <w:proofErr w:type="spellStart"/>
      <w:r w:rsidRPr="009E65CE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  <w:lang w:val="en-US"/>
        </w:rPr>
        <w:t>Mamatov</w:t>
      </w:r>
      <w:proofErr w:type="spellEnd"/>
      <w:r w:rsidRPr="009E65CE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  <w:lang w:val="en-US"/>
        </w:rPr>
        <w:t xml:space="preserve"> A., </w:t>
      </w:r>
      <w:proofErr w:type="spellStart"/>
      <w:r w:rsidRPr="009E65CE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  <w:lang w:val="en-US"/>
        </w:rPr>
        <w:t>Orozmatov</w:t>
      </w:r>
      <w:proofErr w:type="spellEnd"/>
      <w:r w:rsidRPr="009E65CE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  <w:lang w:val="en-US"/>
        </w:rPr>
        <w:t xml:space="preserve"> T., </w:t>
      </w:r>
      <w:proofErr w:type="spellStart"/>
      <w:r w:rsidRPr="009E65CE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  <w:lang w:val="en-US"/>
        </w:rPr>
        <w:t>Satybaldieva</w:t>
      </w:r>
      <w:proofErr w:type="spellEnd"/>
      <w:r w:rsidRPr="009E65CE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  <w:lang w:val="en-US"/>
        </w:rPr>
        <w:t xml:space="preserve"> A., </w:t>
      </w:r>
      <w:proofErr w:type="spellStart"/>
      <w:r w:rsidRPr="009E65CE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  <w:lang w:val="en-US"/>
        </w:rPr>
        <w:t>Stamkulova</w:t>
      </w:r>
      <w:proofErr w:type="spellEnd"/>
      <w:r w:rsidRPr="009E65CE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  <w:lang w:val="en-US"/>
        </w:rPr>
        <w:t xml:space="preserve"> A., </w:t>
      </w:r>
      <w:proofErr w:type="spellStart"/>
      <w:r w:rsidRPr="009E65CE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  <w:lang w:val="en-US"/>
        </w:rPr>
        <w:t>Zhailoobaeva</w:t>
      </w:r>
      <w:proofErr w:type="spellEnd"/>
      <w:r w:rsidRPr="009E65CE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  <w:lang w:val="en-US"/>
        </w:rPr>
        <w:t xml:space="preserve"> G. </w:t>
      </w:r>
      <w:r w:rsidRPr="009E65CE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Unbalanced nutrition and its role in the development of cardiovascular diseases. The scientific heritage, 2021, </w:t>
      </w:r>
      <w:r w:rsidRPr="009E65CE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  <w:lang w:val="en-US"/>
        </w:rPr>
        <w:t>DOI: 10.24412/9215-0365-2021-65-2-55-64</w:t>
      </w:r>
    </w:p>
    <w:p w:rsidR="004C32E1" w:rsidRDefault="0079442C">
      <w:pPr>
        <w:spacing w:before="200" w:after="240" w:line="360" w:lineRule="auto"/>
        <w:ind w:firstLine="7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</w:pPr>
      <w:r w:rsidRPr="009E65CE">
        <w:rPr>
          <w:rFonts w:ascii="Times New Roman" w:eastAsia="Times New Roman" w:hAnsi="Times New Roman" w:cs="Times New Roman"/>
          <w:sz w:val="24"/>
          <w:szCs w:val="24"/>
          <w:lang w:val="en-US"/>
        </w:rPr>
        <w:t>[2</w:t>
      </w:r>
      <w:r w:rsidRPr="009E65CE">
        <w:rPr>
          <w:rFonts w:ascii="Times New Roman" w:eastAsia="Times New Roman" w:hAnsi="Times New Roman" w:cs="Times New Roman"/>
          <w:color w:val="111111"/>
          <w:sz w:val="24"/>
          <w:szCs w:val="24"/>
          <w:lang w:val="en-US"/>
        </w:rPr>
        <w:t>]</w:t>
      </w:r>
      <w:r w:rsidRPr="009E65C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- </w:t>
      </w:r>
      <w:r w:rsidRPr="009E65CE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en-US"/>
        </w:rPr>
        <w:t xml:space="preserve">Savarino, G., </w:t>
      </w:r>
      <w:proofErr w:type="spellStart"/>
      <w:r w:rsidRPr="009E65CE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en-US"/>
        </w:rPr>
        <w:t>Corsello</w:t>
      </w:r>
      <w:proofErr w:type="spellEnd"/>
      <w:r w:rsidRPr="009E65CE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en-US"/>
        </w:rPr>
        <w:t xml:space="preserve">, A. &amp; </w:t>
      </w:r>
      <w:proofErr w:type="spellStart"/>
      <w:r w:rsidRPr="009E65CE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en-US"/>
        </w:rPr>
        <w:t>Corsello</w:t>
      </w:r>
      <w:proofErr w:type="spellEnd"/>
      <w:r w:rsidRPr="009E65CE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en-US"/>
        </w:rPr>
        <w:t xml:space="preserve">, G. Macronutrient balance and micronutrient amounts through growth and development.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Ital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J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Pediatr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47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 xml:space="preserve">, 109 (2021).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DOI: 10.1186/s13052-021-01061-0.</w:t>
      </w:r>
    </w:p>
    <w:p w:rsidR="004C32E1" w:rsidRPr="009E65CE" w:rsidRDefault="0079442C">
      <w:pPr>
        <w:spacing w:before="200" w:after="240" w:line="360" w:lineRule="auto"/>
        <w:ind w:firstLine="70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[3] -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Родионова, Л. В. (2005). Физиологическая роль макро и микроэлементов (обзор литературы). </w:t>
      </w:r>
      <w:r w:rsidRPr="009E65CE">
        <w:rPr>
          <w:rFonts w:ascii="Times New Roman" w:eastAsia="Times New Roman" w:hAnsi="Times New Roman" w:cs="Times New Roman"/>
          <w:color w:val="111111"/>
          <w:sz w:val="24"/>
          <w:szCs w:val="24"/>
          <w:lang w:val="en-US"/>
        </w:rPr>
        <w:t xml:space="preserve">Acta </w:t>
      </w:r>
      <w:proofErr w:type="spellStart"/>
      <w:r w:rsidRPr="009E65CE">
        <w:rPr>
          <w:rFonts w:ascii="Times New Roman" w:eastAsia="Times New Roman" w:hAnsi="Times New Roman" w:cs="Times New Roman"/>
          <w:color w:val="111111"/>
          <w:sz w:val="24"/>
          <w:szCs w:val="24"/>
          <w:lang w:val="en-US"/>
        </w:rPr>
        <w:t>Biomedica</w:t>
      </w:r>
      <w:proofErr w:type="spellEnd"/>
      <w:r w:rsidRPr="009E65CE">
        <w:rPr>
          <w:rFonts w:ascii="Times New Roman" w:eastAsia="Times New Roman" w:hAnsi="Times New Roman" w:cs="Times New Roman"/>
          <w:color w:val="111111"/>
          <w:sz w:val="24"/>
          <w:szCs w:val="24"/>
          <w:lang w:val="en-US"/>
        </w:rPr>
        <w:t xml:space="preserve"> </w:t>
      </w:r>
      <w:proofErr w:type="spellStart"/>
      <w:r w:rsidRPr="009E65CE">
        <w:rPr>
          <w:rFonts w:ascii="Times New Roman" w:eastAsia="Times New Roman" w:hAnsi="Times New Roman" w:cs="Times New Roman"/>
          <w:color w:val="111111"/>
          <w:sz w:val="24"/>
          <w:szCs w:val="24"/>
          <w:lang w:val="en-US"/>
        </w:rPr>
        <w:t>Scientifica</w:t>
      </w:r>
      <w:proofErr w:type="spellEnd"/>
      <w:r w:rsidRPr="009E65CE">
        <w:rPr>
          <w:rFonts w:ascii="Times New Roman" w:eastAsia="Times New Roman" w:hAnsi="Times New Roman" w:cs="Times New Roman"/>
          <w:color w:val="111111"/>
          <w:sz w:val="24"/>
          <w:szCs w:val="24"/>
          <w:lang w:val="en-US"/>
        </w:rPr>
        <w:t xml:space="preserve">, (6), 195-198. </w:t>
      </w:r>
    </w:p>
    <w:p w:rsidR="004C32E1" w:rsidRPr="009E65CE" w:rsidRDefault="0079442C">
      <w:pPr>
        <w:spacing w:before="200" w:after="240" w:line="360" w:lineRule="auto"/>
        <w:ind w:firstLine="700"/>
        <w:jc w:val="both"/>
        <w:rPr>
          <w:rFonts w:ascii="Times New Roman" w:eastAsia="Times New Roman" w:hAnsi="Times New Roman" w:cs="Times New Roman"/>
          <w:color w:val="403D39"/>
          <w:sz w:val="24"/>
          <w:szCs w:val="24"/>
          <w:highlight w:val="white"/>
          <w:lang w:val="en-US"/>
        </w:rPr>
      </w:pPr>
      <w:r w:rsidRPr="009E65CE">
        <w:rPr>
          <w:rFonts w:ascii="Times New Roman" w:eastAsia="Times New Roman" w:hAnsi="Times New Roman" w:cs="Times New Roman"/>
          <w:color w:val="111111"/>
          <w:sz w:val="24"/>
          <w:szCs w:val="24"/>
          <w:lang w:val="en-US"/>
        </w:rPr>
        <w:t xml:space="preserve">[4] - </w:t>
      </w:r>
      <w:r w:rsidRPr="009E65CE">
        <w:rPr>
          <w:rFonts w:ascii="Times New Roman" w:eastAsia="Times New Roman" w:hAnsi="Times New Roman" w:cs="Times New Roman"/>
          <w:color w:val="403D39"/>
          <w:sz w:val="24"/>
          <w:szCs w:val="24"/>
          <w:highlight w:val="white"/>
          <w:lang w:val="en-US"/>
        </w:rPr>
        <w:t xml:space="preserve">Williams SL, </w:t>
      </w:r>
      <w:proofErr w:type="spellStart"/>
      <w:r w:rsidRPr="009E65CE">
        <w:rPr>
          <w:rFonts w:ascii="Times New Roman" w:eastAsia="Times New Roman" w:hAnsi="Times New Roman" w:cs="Times New Roman"/>
          <w:color w:val="403D39"/>
          <w:sz w:val="24"/>
          <w:szCs w:val="24"/>
          <w:highlight w:val="white"/>
          <w:lang w:val="en-US"/>
        </w:rPr>
        <w:t>Vandelanotte</w:t>
      </w:r>
      <w:proofErr w:type="spellEnd"/>
      <w:r w:rsidRPr="009E65CE">
        <w:rPr>
          <w:rFonts w:ascii="Times New Roman" w:eastAsia="Times New Roman" w:hAnsi="Times New Roman" w:cs="Times New Roman"/>
          <w:color w:val="403D39"/>
          <w:sz w:val="24"/>
          <w:szCs w:val="24"/>
          <w:highlight w:val="white"/>
          <w:lang w:val="en-US"/>
        </w:rPr>
        <w:t xml:space="preserve"> C, Irwin C, </w:t>
      </w:r>
      <w:proofErr w:type="spellStart"/>
      <w:r w:rsidRPr="009E65CE">
        <w:rPr>
          <w:rFonts w:ascii="Times New Roman" w:eastAsia="Times New Roman" w:hAnsi="Times New Roman" w:cs="Times New Roman"/>
          <w:color w:val="403D39"/>
          <w:sz w:val="24"/>
          <w:szCs w:val="24"/>
          <w:highlight w:val="white"/>
          <w:lang w:val="en-US"/>
        </w:rPr>
        <w:t>Bellisimo</w:t>
      </w:r>
      <w:proofErr w:type="spellEnd"/>
      <w:r w:rsidRPr="009E65CE">
        <w:rPr>
          <w:rFonts w:ascii="Times New Roman" w:eastAsia="Times New Roman" w:hAnsi="Times New Roman" w:cs="Times New Roman"/>
          <w:color w:val="403D39"/>
          <w:sz w:val="24"/>
          <w:szCs w:val="24"/>
          <w:highlight w:val="white"/>
          <w:lang w:val="en-US"/>
        </w:rPr>
        <w:t xml:space="preserve"> N, </w:t>
      </w:r>
      <w:proofErr w:type="spellStart"/>
      <w:r w:rsidRPr="009E65CE">
        <w:rPr>
          <w:rFonts w:ascii="Times New Roman" w:eastAsia="Times New Roman" w:hAnsi="Times New Roman" w:cs="Times New Roman"/>
          <w:color w:val="403D39"/>
          <w:sz w:val="24"/>
          <w:szCs w:val="24"/>
          <w:highlight w:val="white"/>
          <w:lang w:val="en-US"/>
        </w:rPr>
        <w:t>Heidke</w:t>
      </w:r>
      <w:proofErr w:type="spellEnd"/>
      <w:r w:rsidRPr="009E65CE">
        <w:rPr>
          <w:rFonts w:ascii="Times New Roman" w:eastAsia="Times New Roman" w:hAnsi="Times New Roman" w:cs="Times New Roman"/>
          <w:color w:val="403D39"/>
          <w:sz w:val="24"/>
          <w:szCs w:val="24"/>
          <w:highlight w:val="white"/>
          <w:lang w:val="en-US"/>
        </w:rPr>
        <w:t xml:space="preserve"> P, </w:t>
      </w:r>
      <w:proofErr w:type="spellStart"/>
      <w:r w:rsidRPr="009E65CE">
        <w:rPr>
          <w:rFonts w:ascii="Times New Roman" w:eastAsia="Times New Roman" w:hAnsi="Times New Roman" w:cs="Times New Roman"/>
          <w:color w:val="403D39"/>
          <w:sz w:val="24"/>
          <w:szCs w:val="24"/>
          <w:highlight w:val="white"/>
          <w:lang w:val="en-US"/>
        </w:rPr>
        <w:t>Saluja</w:t>
      </w:r>
      <w:proofErr w:type="spellEnd"/>
      <w:r w:rsidRPr="009E65CE">
        <w:rPr>
          <w:rFonts w:ascii="Times New Roman" w:eastAsia="Times New Roman" w:hAnsi="Times New Roman" w:cs="Times New Roman"/>
          <w:color w:val="403D39"/>
          <w:sz w:val="24"/>
          <w:szCs w:val="24"/>
          <w:highlight w:val="white"/>
          <w:lang w:val="en-US"/>
        </w:rPr>
        <w:t xml:space="preserve"> S, et al. Association between dietary patterns and </w:t>
      </w:r>
      <w:proofErr w:type="spellStart"/>
      <w:r w:rsidRPr="009E65CE">
        <w:rPr>
          <w:rFonts w:ascii="Times New Roman" w:eastAsia="Times New Roman" w:hAnsi="Times New Roman" w:cs="Times New Roman"/>
          <w:color w:val="403D39"/>
          <w:sz w:val="24"/>
          <w:szCs w:val="24"/>
          <w:highlight w:val="white"/>
          <w:lang w:val="en-US"/>
        </w:rPr>
        <w:t>sociodemographics</w:t>
      </w:r>
      <w:proofErr w:type="spellEnd"/>
      <w:r w:rsidRPr="009E65CE">
        <w:rPr>
          <w:rFonts w:ascii="Times New Roman" w:eastAsia="Times New Roman" w:hAnsi="Times New Roman" w:cs="Times New Roman"/>
          <w:color w:val="403D39"/>
          <w:sz w:val="24"/>
          <w:szCs w:val="24"/>
          <w:highlight w:val="white"/>
          <w:lang w:val="en-US"/>
        </w:rPr>
        <w:t xml:space="preserve">: a cross-sectional study of Australian nursing students. </w:t>
      </w:r>
      <w:proofErr w:type="spellStart"/>
      <w:r w:rsidRPr="009E65CE">
        <w:rPr>
          <w:rFonts w:ascii="Times New Roman" w:eastAsia="Times New Roman" w:hAnsi="Times New Roman" w:cs="Times New Roman"/>
          <w:color w:val="403D39"/>
          <w:sz w:val="24"/>
          <w:szCs w:val="24"/>
          <w:highlight w:val="white"/>
          <w:lang w:val="en-US"/>
        </w:rPr>
        <w:t>Nurs</w:t>
      </w:r>
      <w:proofErr w:type="spellEnd"/>
      <w:r w:rsidRPr="009E65CE">
        <w:rPr>
          <w:rFonts w:ascii="Times New Roman" w:eastAsia="Times New Roman" w:hAnsi="Times New Roman" w:cs="Times New Roman"/>
          <w:color w:val="403D39"/>
          <w:sz w:val="24"/>
          <w:szCs w:val="24"/>
          <w:highlight w:val="white"/>
          <w:lang w:val="en-US"/>
        </w:rPr>
        <w:t xml:space="preserve"> Health Sci. 2020;22(1):38-48. DOI: 10.1111/nhs.12643</w:t>
      </w:r>
    </w:p>
    <w:p w:rsidR="004C32E1" w:rsidRPr="009E65CE" w:rsidRDefault="0079442C">
      <w:pPr>
        <w:spacing w:before="200" w:after="240" w:line="360" w:lineRule="auto"/>
        <w:ind w:firstLine="70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  <w:lang w:val="en-US"/>
        </w:rPr>
      </w:pPr>
      <w:r w:rsidRPr="009E65CE">
        <w:rPr>
          <w:rFonts w:ascii="Times New Roman" w:eastAsia="Times New Roman" w:hAnsi="Times New Roman" w:cs="Times New Roman"/>
          <w:color w:val="403D39"/>
          <w:sz w:val="24"/>
          <w:szCs w:val="24"/>
          <w:highlight w:val="white"/>
          <w:lang w:val="en-US"/>
        </w:rPr>
        <w:t xml:space="preserve">[5] - </w:t>
      </w:r>
      <w:r w:rsidRPr="009E65CE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  <w:lang w:val="en-US"/>
        </w:rPr>
        <w:t xml:space="preserve">La </w:t>
      </w:r>
      <w:proofErr w:type="spellStart"/>
      <w:r w:rsidRPr="009E65CE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  <w:lang w:val="en-US"/>
        </w:rPr>
        <w:t>Foucade</w:t>
      </w:r>
      <w:proofErr w:type="spellEnd"/>
      <w:r w:rsidRPr="009E65CE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  <w:lang w:val="en-US"/>
        </w:rPr>
        <w:t xml:space="preserve"> A, Gabriel S, </w:t>
      </w:r>
      <w:proofErr w:type="spellStart"/>
      <w:r w:rsidRPr="009E65CE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  <w:lang w:val="en-US"/>
        </w:rPr>
        <w:t>Beharry</w:t>
      </w:r>
      <w:proofErr w:type="spellEnd"/>
      <w:r w:rsidRPr="009E65CE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  <w:lang w:val="en-US"/>
        </w:rPr>
        <w:t xml:space="preserve"> V, </w:t>
      </w:r>
      <w:proofErr w:type="spellStart"/>
      <w:r w:rsidRPr="009E65CE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  <w:lang w:val="en-US"/>
        </w:rPr>
        <w:t>Laptiste</w:t>
      </w:r>
      <w:proofErr w:type="spellEnd"/>
      <w:r w:rsidRPr="009E65CE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  <w:lang w:val="en-US"/>
        </w:rPr>
        <w:t xml:space="preserve"> C, </w:t>
      </w:r>
      <w:proofErr w:type="spellStart"/>
      <w:r w:rsidRPr="009E65CE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  <w:lang w:val="en-US"/>
        </w:rPr>
        <w:t>Metivier</w:t>
      </w:r>
      <w:proofErr w:type="spellEnd"/>
      <w:r w:rsidRPr="009E65CE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  <w:lang w:val="en-US"/>
        </w:rPr>
        <w:t xml:space="preserve"> C, Samuels TA, Theodore K, Edwards-Wescott P. Assessing the determinants of unhealthy dietary habits among a sample of survey participants in Jamaica. Rev </w:t>
      </w:r>
      <w:proofErr w:type="spellStart"/>
      <w:r w:rsidRPr="009E65CE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  <w:lang w:val="en-US"/>
        </w:rPr>
        <w:t>Panam</w:t>
      </w:r>
      <w:proofErr w:type="spellEnd"/>
      <w:r w:rsidRPr="009E65CE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  <w:lang w:val="en-US"/>
        </w:rPr>
        <w:t xml:space="preserve"> </w:t>
      </w:r>
      <w:proofErr w:type="spellStart"/>
      <w:r w:rsidRPr="009E65CE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  <w:lang w:val="en-US"/>
        </w:rPr>
        <w:t>Salud</w:t>
      </w:r>
      <w:proofErr w:type="spellEnd"/>
      <w:r w:rsidRPr="009E65CE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  <w:lang w:val="en-US"/>
        </w:rPr>
        <w:t xml:space="preserve"> </w:t>
      </w:r>
      <w:proofErr w:type="spellStart"/>
      <w:r w:rsidRPr="009E65CE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  <w:lang w:val="en-US"/>
        </w:rPr>
        <w:t>Publica</w:t>
      </w:r>
      <w:proofErr w:type="spellEnd"/>
      <w:r w:rsidRPr="009E65CE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  <w:lang w:val="en-US"/>
        </w:rPr>
        <w:t>. 2022 Aug 25;</w:t>
      </w:r>
      <w:proofErr w:type="gramStart"/>
      <w:r w:rsidRPr="009E65CE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  <w:lang w:val="en-US"/>
        </w:rPr>
        <w:t>46:e</w:t>
      </w:r>
      <w:proofErr w:type="gramEnd"/>
      <w:r w:rsidRPr="009E65CE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  <w:lang w:val="en-US"/>
        </w:rPr>
        <w:t xml:space="preserve">72. </w:t>
      </w:r>
      <w:proofErr w:type="spellStart"/>
      <w:r w:rsidRPr="009E65CE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  <w:lang w:val="en-US"/>
        </w:rPr>
        <w:t>doi</w:t>
      </w:r>
      <w:proofErr w:type="spellEnd"/>
      <w:r w:rsidRPr="009E65CE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  <w:lang w:val="en-US"/>
        </w:rPr>
        <w:t>: 10.26633/RPSP.2022.72. PMID: 36042708; PMCID: PMC9409606.</w:t>
      </w:r>
    </w:p>
    <w:p w:rsidR="004C32E1" w:rsidRPr="009E65CE" w:rsidRDefault="0079442C">
      <w:pPr>
        <w:spacing w:before="200" w:after="240" w:line="360" w:lineRule="auto"/>
        <w:ind w:firstLine="7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en-US"/>
        </w:rPr>
      </w:pPr>
      <w:r w:rsidRPr="009E65CE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  <w:lang w:val="en-US"/>
        </w:rPr>
        <w:t xml:space="preserve">[6] - </w:t>
      </w:r>
      <w:proofErr w:type="spellStart"/>
      <w:r w:rsidRPr="009E65CE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en-US"/>
        </w:rPr>
        <w:t>Harmanjot</w:t>
      </w:r>
      <w:proofErr w:type="spellEnd"/>
      <w:r w:rsidRPr="009E65CE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en-US"/>
        </w:rPr>
        <w:t xml:space="preserve"> Kaur &amp; </w:t>
      </w:r>
      <w:proofErr w:type="spellStart"/>
      <w:r w:rsidRPr="009E65CE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en-US"/>
        </w:rPr>
        <w:t>Roopjot</w:t>
      </w:r>
      <w:proofErr w:type="spellEnd"/>
      <w:r w:rsidRPr="009E65CE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en-US"/>
        </w:rPr>
        <w:t xml:space="preserve"> </w:t>
      </w:r>
      <w:proofErr w:type="spellStart"/>
      <w:r w:rsidRPr="009E65CE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en-US"/>
        </w:rPr>
        <w:t>Kochar</w:t>
      </w:r>
      <w:proofErr w:type="spellEnd"/>
      <w:r w:rsidRPr="009E65CE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en-US"/>
        </w:rPr>
        <w:t xml:space="preserve">, 2019. "Nutritional Challenges and Health Consequences of Junk </w:t>
      </w:r>
      <w:proofErr w:type="spellStart"/>
      <w:r w:rsidRPr="009E65CE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en-US"/>
        </w:rPr>
        <w:t>Foods,"Current</w:t>
      </w:r>
      <w:proofErr w:type="spellEnd"/>
      <w:r w:rsidRPr="009E65CE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en-US"/>
        </w:rPr>
        <w:t xml:space="preserve"> Research in Diabetes &amp; Obesity Journal, Juniper Publishers Inc., vol. 10(5), pages 1-4, </w:t>
      </w:r>
      <w:proofErr w:type="spellStart"/>
      <w:r w:rsidRPr="009E65CE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en-US"/>
        </w:rPr>
        <w:t>May.DOI</w:t>
      </w:r>
      <w:proofErr w:type="spellEnd"/>
      <w:r w:rsidRPr="009E65CE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en-US"/>
        </w:rPr>
        <w:t>: 10.19080/CRDOJ.2019.10.555796</w:t>
      </w:r>
    </w:p>
    <w:p w:rsidR="004C32E1" w:rsidRDefault="0079442C">
      <w:pPr>
        <w:spacing w:before="200" w:after="240" w:line="360" w:lineRule="auto"/>
        <w:ind w:firstLine="7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</w:pPr>
      <w:r w:rsidRPr="009E65CE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en-US"/>
        </w:rPr>
        <w:t xml:space="preserve">[7] - </w:t>
      </w:r>
      <w:r w:rsidRPr="009E65CE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  <w:lang w:val="en-US"/>
        </w:rPr>
        <w:t xml:space="preserve">Zhang Y, Dong L, Zhang J, Shi J, Wang Y, Wang S. Adverse Effects of Thermal Food Processing on the Structural, Nutritional, and Biological Properties of Proteins.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Annu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Rev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Food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Sci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Technol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. 2021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Mar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25;12:259</w:t>
      </w:r>
      <w:proofErr w:type="gramEnd"/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-286.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doi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: 10.1146/annurev-food-062320-012215. </w:t>
      </w:r>
    </w:p>
    <w:p w:rsidR="004C32E1" w:rsidRDefault="0079442C">
      <w:pPr>
        <w:shd w:val="clear" w:color="auto" w:fill="FFFFFF"/>
        <w:spacing w:before="200" w:after="240"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[8] - Бутова Светлана Николаевна, Николаева Юлия Владимировна, Нечаев Алексей Петрович,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Тхоржевская Кристина Александровна. "Повышение стабильности витамина А в растительных маслах" Пищевая промышленность,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5, 2019,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15-17. doi:10.24411/0235-2486-2019-10064</w:t>
      </w:r>
    </w:p>
    <w:p w:rsidR="004C32E1" w:rsidRDefault="0079442C">
      <w:pPr>
        <w:shd w:val="clear" w:color="auto" w:fill="FFFFFF"/>
        <w:spacing w:before="200" w:after="240" w:line="360" w:lineRule="auto"/>
        <w:ind w:firstLine="700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[9] - </w:t>
      </w:r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Романовский И.В.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Ботлромеюк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В.В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Гидранович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Л.Г.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Ринейская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О.Н.</w:t>
      </w:r>
      <w:r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 xml:space="preserve"> Биоорганическая химия / И.В. Романовский. — Минск: Новое знание, 2015. — С. 292. — 504 с.</w:t>
      </w:r>
    </w:p>
    <w:p w:rsidR="004C32E1" w:rsidRPr="009E65CE" w:rsidRDefault="0079442C">
      <w:pPr>
        <w:shd w:val="clear" w:color="auto" w:fill="FFFFFF"/>
        <w:spacing w:before="200" w:after="240" w:line="360" w:lineRule="auto"/>
        <w:ind w:firstLine="700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  <w:lang w:val="en-US"/>
        </w:rPr>
      </w:pPr>
      <w:r w:rsidRPr="009E65CE"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  <w:lang w:val="en-US"/>
        </w:rPr>
        <w:t xml:space="preserve">[10] - Yang He, </w:t>
      </w:r>
      <w:proofErr w:type="spellStart"/>
      <w:r w:rsidRPr="009E65CE"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  <w:lang w:val="en-US"/>
        </w:rPr>
        <w:t>Bixiang</w:t>
      </w:r>
      <w:proofErr w:type="spellEnd"/>
      <w:r w:rsidRPr="009E65CE"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  <w:lang w:val="en-US"/>
        </w:rPr>
        <w:t xml:space="preserve"> Wang, </w:t>
      </w:r>
      <w:proofErr w:type="spellStart"/>
      <w:r w:rsidRPr="009E65CE"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  <w:lang w:val="en-US"/>
        </w:rPr>
        <w:t>Liankui</w:t>
      </w:r>
      <w:proofErr w:type="spellEnd"/>
      <w:r w:rsidRPr="009E65CE"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  <w:lang w:val="en-US"/>
        </w:rPr>
        <w:t xml:space="preserve"> Wen, </w:t>
      </w:r>
      <w:proofErr w:type="spellStart"/>
      <w:r w:rsidRPr="009E65CE"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  <w:lang w:val="en-US"/>
        </w:rPr>
        <w:t>Fengzhong</w:t>
      </w:r>
      <w:proofErr w:type="spellEnd"/>
      <w:r w:rsidRPr="009E65CE"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  <w:lang w:val="en-US"/>
        </w:rPr>
        <w:t xml:space="preserve"> Wang, </w:t>
      </w:r>
      <w:proofErr w:type="spellStart"/>
      <w:r w:rsidRPr="009E65CE"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  <w:lang w:val="en-US"/>
        </w:rPr>
        <w:t>Hansong</w:t>
      </w:r>
      <w:proofErr w:type="spellEnd"/>
      <w:r w:rsidRPr="009E65CE"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  <w:lang w:val="en-US"/>
        </w:rPr>
        <w:t xml:space="preserve"> Yu, </w:t>
      </w:r>
      <w:proofErr w:type="spellStart"/>
      <w:r w:rsidRPr="009E65CE"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  <w:lang w:val="en-US"/>
        </w:rPr>
        <w:t>Dongxia</w:t>
      </w:r>
      <w:proofErr w:type="spellEnd"/>
      <w:r w:rsidRPr="009E65CE"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  <w:lang w:val="en-US"/>
        </w:rPr>
        <w:t xml:space="preserve"> Chen, Xin Su, Chi Zhang, Effects of dietary fiber on human health, Food Science and Human Wellness, Volume 11, Issue 1, 2022, Pages 1-10, ISSN 2213-4530, https://doi.org/10.1016/j.fshw.2021.07.001.</w:t>
      </w:r>
    </w:p>
    <w:p w:rsidR="004C32E1" w:rsidRPr="009E65CE" w:rsidRDefault="0079442C">
      <w:pPr>
        <w:shd w:val="clear" w:color="auto" w:fill="FFFFFF"/>
        <w:spacing w:before="200" w:after="240" w:line="360" w:lineRule="auto"/>
        <w:ind w:firstLine="700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  <w:lang w:val="en-US"/>
        </w:rPr>
      </w:pPr>
      <w:r w:rsidRPr="009E65C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[11] - </w:t>
      </w:r>
      <w:proofErr w:type="spellStart"/>
      <w:r w:rsidRPr="009E65CE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  <w:lang w:val="en-US"/>
        </w:rPr>
        <w:t>Farré</w:t>
      </w:r>
      <w:proofErr w:type="spellEnd"/>
      <w:r w:rsidRPr="009E65CE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  <w:lang w:val="en-US"/>
        </w:rPr>
        <w:t xml:space="preserve">, R.; </w:t>
      </w:r>
      <w:proofErr w:type="spellStart"/>
      <w:r w:rsidRPr="009E65CE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  <w:lang w:val="en-US"/>
        </w:rPr>
        <w:t>Fiorani</w:t>
      </w:r>
      <w:proofErr w:type="spellEnd"/>
      <w:r w:rsidRPr="009E65CE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  <w:lang w:val="en-US"/>
        </w:rPr>
        <w:t xml:space="preserve">, M.; Abdu </w:t>
      </w:r>
      <w:proofErr w:type="spellStart"/>
      <w:r w:rsidRPr="009E65CE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  <w:lang w:val="en-US"/>
        </w:rPr>
        <w:t>Rahiman</w:t>
      </w:r>
      <w:proofErr w:type="spellEnd"/>
      <w:r w:rsidRPr="009E65CE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  <w:lang w:val="en-US"/>
        </w:rPr>
        <w:t xml:space="preserve">, S.; </w:t>
      </w:r>
      <w:proofErr w:type="spellStart"/>
      <w:r w:rsidRPr="009E65CE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  <w:lang w:val="en-US"/>
        </w:rPr>
        <w:t>Matteoli</w:t>
      </w:r>
      <w:proofErr w:type="spellEnd"/>
      <w:r w:rsidRPr="009E65CE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  <w:lang w:val="en-US"/>
        </w:rPr>
        <w:t xml:space="preserve">, G. Intestinal Permeability, Inflammation and the Role of Nutrients. </w:t>
      </w:r>
      <w:r w:rsidRPr="009E65CE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Nutrients</w:t>
      </w:r>
      <w:r w:rsidRPr="009E65CE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  <w:lang w:val="en-US"/>
        </w:rPr>
        <w:t xml:space="preserve"> </w:t>
      </w:r>
      <w:r w:rsidRPr="009E65CE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2020</w:t>
      </w:r>
      <w:r w:rsidRPr="009E65CE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  <w:lang w:val="en-US"/>
        </w:rPr>
        <w:t xml:space="preserve">, </w:t>
      </w:r>
      <w:r w:rsidRPr="009E65CE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12</w:t>
      </w:r>
      <w:r w:rsidRPr="009E65CE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  <w:lang w:val="en-US"/>
        </w:rPr>
        <w:t>, 1185. DOI: 10.3390/nu12041185</w:t>
      </w:r>
    </w:p>
    <w:p w:rsidR="004C32E1" w:rsidRPr="009E65CE" w:rsidRDefault="0079442C">
      <w:pPr>
        <w:shd w:val="clear" w:color="auto" w:fill="FFFFFF"/>
        <w:spacing w:before="200" w:after="240" w:line="360" w:lineRule="auto"/>
        <w:ind w:firstLine="70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  <w:lang w:val="en-US"/>
        </w:rPr>
      </w:pPr>
      <w:r w:rsidRPr="009E65CE"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  <w:lang w:val="en-US"/>
        </w:rPr>
        <w:t xml:space="preserve">[12] - </w:t>
      </w:r>
      <w:proofErr w:type="spellStart"/>
      <w:r w:rsidRPr="009E65CE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  <w:lang w:val="en-US"/>
        </w:rPr>
        <w:t>Gietzen</w:t>
      </w:r>
      <w:proofErr w:type="spellEnd"/>
      <w:r w:rsidRPr="009E65CE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  <w:lang w:val="en-US"/>
        </w:rPr>
        <w:t xml:space="preserve"> DW. Brain Signaling of Indispensable Amino Acid Deficiency. J </w:t>
      </w:r>
      <w:proofErr w:type="spellStart"/>
      <w:r w:rsidRPr="009E65CE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  <w:lang w:val="en-US"/>
        </w:rPr>
        <w:t>Clin</w:t>
      </w:r>
      <w:proofErr w:type="spellEnd"/>
      <w:r w:rsidRPr="009E65CE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  <w:lang w:val="en-US"/>
        </w:rPr>
        <w:t xml:space="preserve"> Med. 2021 Dec 30;11(1):191. </w:t>
      </w:r>
      <w:proofErr w:type="spellStart"/>
      <w:r w:rsidRPr="009E65CE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  <w:lang w:val="en-US"/>
        </w:rPr>
        <w:t>doi</w:t>
      </w:r>
      <w:proofErr w:type="spellEnd"/>
      <w:r w:rsidRPr="009E65CE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  <w:lang w:val="en-US"/>
        </w:rPr>
        <w:t>: 10.3390/jcm11010191. PMID: 35011932; PMCID: PMC8745678.</w:t>
      </w:r>
    </w:p>
    <w:p w:rsidR="004C32E1" w:rsidRPr="009E65CE" w:rsidRDefault="0079442C">
      <w:pPr>
        <w:shd w:val="clear" w:color="auto" w:fill="FFFFFF"/>
        <w:spacing w:before="200" w:after="240" w:line="360" w:lineRule="auto"/>
        <w:ind w:firstLine="70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  <w:lang w:val="en-US"/>
        </w:rPr>
      </w:pPr>
      <w:r w:rsidRPr="009E65CE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  <w:lang w:val="en-US"/>
        </w:rPr>
        <w:t>[13] - Suzuki Hiroyuki, Yamashiro Daichi, Ogawa Susumu, Kobayashi Momoko, Cho Daisuke, Iizuka Ai, Tsukamoto-</w:t>
      </w:r>
      <w:proofErr w:type="spellStart"/>
      <w:r w:rsidRPr="009E65CE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  <w:lang w:val="en-US"/>
        </w:rPr>
        <w:t>Yasui</w:t>
      </w:r>
      <w:proofErr w:type="spellEnd"/>
      <w:r w:rsidRPr="009E65CE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  <w:lang w:val="en-US"/>
        </w:rPr>
        <w:t xml:space="preserve"> Masako, Takada </w:t>
      </w:r>
      <w:proofErr w:type="spellStart"/>
      <w:r w:rsidRPr="009E65CE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  <w:lang w:val="en-US"/>
        </w:rPr>
        <w:t>Michihiro</w:t>
      </w:r>
      <w:proofErr w:type="spellEnd"/>
      <w:r w:rsidRPr="009E65CE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  <w:lang w:val="en-US"/>
        </w:rPr>
        <w:t xml:space="preserve">, </w:t>
      </w:r>
      <w:proofErr w:type="spellStart"/>
      <w:r w:rsidRPr="009E65CE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  <w:lang w:val="en-US"/>
        </w:rPr>
        <w:t>Isokawa</w:t>
      </w:r>
      <w:proofErr w:type="spellEnd"/>
      <w:r w:rsidRPr="009E65CE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  <w:lang w:val="en-US"/>
        </w:rPr>
        <w:t xml:space="preserve"> </w:t>
      </w:r>
      <w:proofErr w:type="spellStart"/>
      <w:r w:rsidRPr="009E65CE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  <w:lang w:val="en-US"/>
        </w:rPr>
        <w:t>Muneki</w:t>
      </w:r>
      <w:proofErr w:type="spellEnd"/>
      <w:r w:rsidRPr="009E65CE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  <w:lang w:val="en-US"/>
        </w:rPr>
        <w:t xml:space="preserve">, Nagao Kenji, Fujiwara Yoshinori, Intake of Seven Essential Amino Acids Improves Cognitive Function and Psychological and Social Function in Middle-Aged and Older Adults: A Double-Blind, Randomized, Placebo-Controlled Trial, Frontiers in Nutrition VOLUME 7, 2020. DOI: 10.3389/fnut.2020.586166 </w:t>
      </w:r>
    </w:p>
    <w:p w:rsidR="004C32E1" w:rsidRPr="009E65CE" w:rsidRDefault="0079442C">
      <w:pPr>
        <w:shd w:val="clear" w:color="auto" w:fill="FFFFFF"/>
        <w:spacing w:before="200" w:after="240" w:line="360" w:lineRule="auto"/>
        <w:ind w:firstLine="70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  <w:lang w:val="en-US"/>
        </w:rPr>
      </w:pPr>
      <w:r w:rsidRPr="009E65CE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  <w:lang w:val="en-US"/>
        </w:rPr>
        <w:t xml:space="preserve">[14] - </w:t>
      </w:r>
      <w:proofErr w:type="spellStart"/>
      <w:r w:rsidRPr="009E65CE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  <w:lang w:val="en-US"/>
        </w:rPr>
        <w:t>Goli</w:t>
      </w:r>
      <w:proofErr w:type="spellEnd"/>
      <w:r w:rsidRPr="009E65CE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  <w:lang w:val="en-US"/>
        </w:rPr>
        <w:t xml:space="preserve"> P, </w:t>
      </w:r>
      <w:proofErr w:type="spellStart"/>
      <w:r w:rsidRPr="009E65CE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  <w:lang w:val="en-US"/>
        </w:rPr>
        <w:t>Yazdi</w:t>
      </w:r>
      <w:proofErr w:type="spellEnd"/>
      <w:r w:rsidRPr="009E65CE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  <w:lang w:val="en-US"/>
        </w:rPr>
        <w:t xml:space="preserve"> M, </w:t>
      </w:r>
      <w:proofErr w:type="spellStart"/>
      <w:r w:rsidRPr="009E65CE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  <w:lang w:val="en-US"/>
        </w:rPr>
        <w:t>Heidari</w:t>
      </w:r>
      <w:proofErr w:type="spellEnd"/>
      <w:r w:rsidRPr="009E65CE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  <w:lang w:val="en-US"/>
        </w:rPr>
        <w:t xml:space="preserve">-Beni M, </w:t>
      </w:r>
      <w:proofErr w:type="spellStart"/>
      <w:r w:rsidRPr="009E65CE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  <w:lang w:val="en-US"/>
        </w:rPr>
        <w:t>Kelishadi</w:t>
      </w:r>
      <w:proofErr w:type="spellEnd"/>
      <w:r w:rsidRPr="009E65CE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  <w:lang w:val="en-US"/>
        </w:rPr>
        <w:t xml:space="preserve"> R. Growth Hormone Response to L-Arginine Alone and Combined with Different Doses of Growth Hormone-Releasing Hormone: A Systematic Review and Meta-Analysis. </w:t>
      </w:r>
      <w:proofErr w:type="spellStart"/>
      <w:r w:rsidRPr="009E65CE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  <w:lang w:val="en-US"/>
        </w:rPr>
        <w:t>Int</w:t>
      </w:r>
      <w:proofErr w:type="spellEnd"/>
      <w:r w:rsidRPr="009E65CE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  <w:lang w:val="en-US"/>
        </w:rPr>
        <w:t xml:space="preserve"> J Endocrinol. 2022 Nov </w:t>
      </w:r>
      <w:proofErr w:type="gramStart"/>
      <w:r w:rsidRPr="009E65CE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  <w:lang w:val="en-US"/>
        </w:rPr>
        <w:t>23;2022:8739289</w:t>
      </w:r>
      <w:proofErr w:type="gramEnd"/>
      <w:r w:rsidRPr="009E65CE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  <w:lang w:val="en-US"/>
        </w:rPr>
        <w:t xml:space="preserve">. </w:t>
      </w:r>
      <w:proofErr w:type="spellStart"/>
      <w:r w:rsidRPr="009E65CE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  <w:lang w:val="en-US"/>
        </w:rPr>
        <w:t>doi</w:t>
      </w:r>
      <w:proofErr w:type="spellEnd"/>
      <w:r w:rsidRPr="009E65CE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  <w:lang w:val="en-US"/>
        </w:rPr>
        <w:t>: 10.1155/2022/8739289. PMID: 36467462; PMCID: PMC9712012.</w:t>
      </w:r>
    </w:p>
    <w:p w:rsidR="004C32E1" w:rsidRPr="009E65CE" w:rsidRDefault="0079442C">
      <w:pPr>
        <w:shd w:val="clear" w:color="auto" w:fill="FFFFFF"/>
        <w:spacing w:before="200" w:after="240" w:line="360" w:lineRule="auto"/>
        <w:ind w:firstLine="70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  <w:lang w:val="en-US"/>
        </w:rPr>
      </w:pPr>
      <w:r w:rsidRPr="009E65CE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  <w:lang w:val="en-US"/>
        </w:rPr>
        <w:t xml:space="preserve">[15] - </w:t>
      </w:r>
      <w:r w:rsidRPr="009E65C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Kaplan MCAT Biochemistry Review</w:t>
      </w:r>
      <w:r w:rsidRPr="009E65CE">
        <w:rPr>
          <w:rFonts w:ascii="Times New Roman" w:eastAsia="Times New Roman" w:hAnsi="Times New Roman" w:cs="Times New Roman"/>
          <w:sz w:val="24"/>
          <w:szCs w:val="24"/>
          <w:lang w:val="en-US"/>
        </w:rPr>
        <w:t>. Kaplan Test Prep. Kaplan Publishing, 2015</w:t>
      </w:r>
    </w:p>
    <w:p w:rsidR="004C32E1" w:rsidRPr="009E65CE" w:rsidRDefault="0079442C">
      <w:pPr>
        <w:shd w:val="clear" w:color="auto" w:fill="FFFFFF"/>
        <w:spacing w:before="200" w:after="240" w:line="360" w:lineRule="auto"/>
        <w:ind w:firstLine="70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  <w:lang w:val="en-US"/>
        </w:rPr>
      </w:pPr>
      <w:r w:rsidRPr="009E65CE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  <w:lang w:val="en-US"/>
        </w:rPr>
        <w:t xml:space="preserve">[16] - </w:t>
      </w:r>
      <w:r w:rsidRPr="009E65C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Ferrier, Denise R. </w:t>
      </w:r>
      <w:r w:rsidRPr="009E65C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Biochemistry</w:t>
      </w:r>
      <w:r w:rsidRPr="009E65CE">
        <w:rPr>
          <w:rFonts w:ascii="Times New Roman" w:eastAsia="Times New Roman" w:hAnsi="Times New Roman" w:cs="Times New Roman"/>
          <w:sz w:val="24"/>
          <w:szCs w:val="24"/>
          <w:lang w:val="en-US"/>
        </w:rPr>
        <w:t>. Lippincott Williams &amp; Wilkins, 2014</w:t>
      </w:r>
    </w:p>
    <w:p w:rsidR="004C32E1" w:rsidRPr="009E65CE" w:rsidRDefault="0079442C">
      <w:pPr>
        <w:shd w:val="clear" w:color="auto" w:fill="FFFFFF"/>
        <w:spacing w:before="200" w:after="240" w:line="360" w:lineRule="auto"/>
        <w:ind w:firstLine="7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 w:rsidRPr="009E65C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[17] - </w:t>
      </w:r>
      <w:r w:rsidRPr="009E65CE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Alexandra E. Cowan, </w:t>
      </w:r>
      <w:proofErr w:type="spellStart"/>
      <w:r w:rsidRPr="009E65CE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Shinyoung</w:t>
      </w:r>
      <w:proofErr w:type="spellEnd"/>
      <w:r w:rsidRPr="009E65CE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Jun, Janet A. </w:t>
      </w:r>
      <w:proofErr w:type="spellStart"/>
      <w:r w:rsidRPr="009E65CE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Tooze</w:t>
      </w:r>
      <w:proofErr w:type="spellEnd"/>
      <w:r w:rsidRPr="009E65CE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, Kevin W. Dodd, Jaime J. </w:t>
      </w:r>
      <w:proofErr w:type="spellStart"/>
      <w:r w:rsidRPr="009E65CE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Gahche</w:t>
      </w:r>
      <w:proofErr w:type="spellEnd"/>
      <w:r w:rsidRPr="009E65CE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, Heather A. Eicher-Miller, Patricia M. Guenther, Johanna T. Dwyer, Nancy </w:t>
      </w:r>
      <w:proofErr w:type="spellStart"/>
      <w:r w:rsidRPr="009E65CE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Potischman</w:t>
      </w:r>
      <w:proofErr w:type="spellEnd"/>
      <w:r w:rsidRPr="009E65CE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, </w:t>
      </w:r>
      <w:proofErr w:type="spellStart"/>
      <w:r w:rsidRPr="009E65CE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Anindya</w:t>
      </w:r>
      <w:proofErr w:type="spellEnd"/>
      <w:r w:rsidRPr="009E65CE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Bhadra, Raymond J. Carroll &amp; Regan L. Bailey</w:t>
      </w:r>
      <w:r w:rsidRPr="009E65CE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en-US"/>
        </w:rPr>
        <w:t xml:space="preserve"> </w:t>
      </w:r>
      <w:r w:rsidRPr="009E65CE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(2023)</w:t>
      </w:r>
      <w:r w:rsidRPr="009E65CE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en-US"/>
        </w:rPr>
        <w:t xml:space="preserve"> </w:t>
      </w:r>
      <w:r w:rsidRPr="009E65CE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A narrative review of nutrient based indexes to assess diet quality and the proposed total nutrient index that </w:t>
      </w:r>
      <w:r w:rsidRPr="009E65CE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lastRenderedPageBreak/>
        <w:t>reflects total dietary exposures,</w:t>
      </w:r>
      <w:r w:rsidRPr="009E65CE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en-US"/>
        </w:rPr>
        <w:t xml:space="preserve"> </w:t>
      </w:r>
      <w:r w:rsidRPr="009E65CE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Critical Reviews in Food Science and Nutrition,</w:t>
      </w:r>
      <w:r w:rsidRPr="009E65CE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en-US"/>
        </w:rPr>
        <w:t xml:space="preserve"> </w:t>
      </w:r>
      <w:r w:rsidRPr="009E65CE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63:12,</w:t>
      </w:r>
      <w:r w:rsidRPr="009E65CE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en-US"/>
        </w:rPr>
        <w:t xml:space="preserve"> </w:t>
      </w:r>
      <w:r w:rsidRPr="009E65CE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1722-1732,</w:t>
      </w:r>
      <w:r w:rsidRPr="009E65CE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en-US"/>
        </w:rPr>
        <w:t xml:space="preserve"> </w:t>
      </w:r>
      <w:r w:rsidRPr="009E65CE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DOI: 10.1080/10408398.2021.1967872</w:t>
      </w:r>
    </w:p>
    <w:p w:rsidR="004C32E1" w:rsidRPr="009E65CE" w:rsidRDefault="0079442C">
      <w:pPr>
        <w:shd w:val="clear" w:color="auto" w:fill="FFFFFF"/>
        <w:spacing w:before="200" w:after="240" w:line="360" w:lineRule="auto"/>
        <w:ind w:firstLine="7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[18]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Мартинчик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А Н; Лайкам, К Э; Козырева, Н А;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Кешабянц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Э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Э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; Михайлов, Н А; Батурин, А К; Смирнова, Е А (2021). </w:t>
      </w:r>
      <w:hyperlink r:id="rId8">
        <w:r>
          <w:rPr>
            <w:rFonts w:ascii="Times New Roman" w:eastAsia="Times New Roman" w:hAnsi="Times New Roman" w:cs="Times New Roman"/>
            <w:sz w:val="24"/>
            <w:szCs w:val="24"/>
            <w:highlight w:val="white"/>
          </w:rPr>
          <w:t>“Распространение ожирения в различных социально-демографических группах населения России”</w:t>
        </w:r>
      </w:hyperlink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Вопросы питания. </w:t>
      </w:r>
      <w:r w:rsidRPr="009E65CE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90 (3): 67—76. </w:t>
      </w:r>
      <w:hyperlink r:id="rId9">
        <w:r w:rsidRPr="009E65CE">
          <w:rPr>
            <w:rFonts w:ascii="Times New Roman" w:eastAsia="Times New Roman" w:hAnsi="Times New Roman" w:cs="Times New Roman"/>
            <w:sz w:val="24"/>
            <w:szCs w:val="24"/>
            <w:highlight w:val="white"/>
            <w:lang w:val="en-US"/>
          </w:rPr>
          <w:t>DOI</w:t>
        </w:r>
      </w:hyperlink>
      <w:r w:rsidRPr="009E65CE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:</w:t>
      </w:r>
      <w:hyperlink r:id="rId10">
        <w:r w:rsidRPr="009E65CE">
          <w:rPr>
            <w:rFonts w:ascii="Times New Roman" w:eastAsia="Times New Roman" w:hAnsi="Times New Roman" w:cs="Times New Roman"/>
            <w:sz w:val="24"/>
            <w:szCs w:val="24"/>
            <w:highlight w:val="white"/>
            <w:lang w:val="en-US"/>
          </w:rPr>
          <w:t>10.33029/0042-8833-</w:t>
        </w:r>
        <w:r w:rsidRPr="009E65CE">
          <w:rPr>
            <w:rFonts w:ascii="Times New Roman" w:eastAsia="Times New Roman" w:hAnsi="Times New Roman" w:cs="Times New Roman"/>
            <w:sz w:val="24"/>
            <w:szCs w:val="24"/>
            <w:highlight w:val="white"/>
            <w:lang w:val="en-US"/>
          </w:rPr>
          <w:t>2</w:t>
        </w:r>
        <w:r w:rsidRPr="009E65CE">
          <w:rPr>
            <w:rFonts w:ascii="Times New Roman" w:eastAsia="Times New Roman" w:hAnsi="Times New Roman" w:cs="Times New Roman"/>
            <w:sz w:val="24"/>
            <w:szCs w:val="24"/>
            <w:highlight w:val="white"/>
            <w:lang w:val="en-US"/>
          </w:rPr>
          <w:t>021-90-3-67-76</w:t>
        </w:r>
      </w:hyperlink>
      <w:r w:rsidRPr="009E65CE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. </w:t>
      </w:r>
      <w:hyperlink r:id="rId11">
        <w:r w:rsidRPr="009E65CE">
          <w:rPr>
            <w:rFonts w:ascii="Times New Roman" w:eastAsia="Times New Roman" w:hAnsi="Times New Roman" w:cs="Times New Roman"/>
            <w:sz w:val="24"/>
            <w:szCs w:val="24"/>
            <w:highlight w:val="white"/>
            <w:lang w:val="en-US"/>
          </w:rPr>
          <w:t>PMID</w:t>
        </w:r>
      </w:hyperlink>
      <w:r w:rsidRPr="009E65CE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 </w:t>
      </w:r>
      <w:hyperlink r:id="rId12">
        <w:r w:rsidRPr="009E65CE">
          <w:rPr>
            <w:rFonts w:ascii="Times New Roman" w:eastAsia="Times New Roman" w:hAnsi="Times New Roman" w:cs="Times New Roman"/>
            <w:sz w:val="24"/>
            <w:szCs w:val="24"/>
            <w:highlight w:val="white"/>
            <w:lang w:val="en-US"/>
          </w:rPr>
          <w:t>34264558</w:t>
        </w:r>
      </w:hyperlink>
      <w:r w:rsidRPr="009E65CE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.</w:t>
      </w:r>
    </w:p>
    <w:p w:rsidR="004C32E1" w:rsidRDefault="0079442C">
      <w:pPr>
        <w:shd w:val="clear" w:color="auto" w:fill="FFFFFF"/>
        <w:spacing w:before="200" w:after="240"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E65CE">
        <w:rPr>
          <w:rFonts w:ascii="Times New Roman" w:eastAsia="Times New Roman" w:hAnsi="Times New Roman" w:cs="Times New Roman"/>
          <w:sz w:val="24"/>
          <w:szCs w:val="24"/>
          <w:lang w:val="en-US"/>
        </w:rPr>
        <w:t>[19]</w:t>
      </w:r>
      <w:r w:rsidR="002B51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- </w:t>
      </w:r>
      <w:r w:rsidRPr="009E65C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DRI Calculator for Healthcare Professionals URL: </w:t>
      </w:r>
      <w:hyperlink r:id="rId13" w:history="1">
        <w:r w:rsidR="002B518A" w:rsidRPr="001546C5">
          <w:rPr>
            <w:rStyle w:val="aa"/>
            <w:rFonts w:ascii="Times New Roman" w:eastAsia="Times New Roman" w:hAnsi="Times New Roman" w:cs="Times New Roman"/>
            <w:sz w:val="24"/>
            <w:szCs w:val="24"/>
            <w:lang w:val="en-US"/>
          </w:rPr>
          <w:t>https://www.nal.usda.gov/human-nutrition-and-food-safety/dri-calculator</w:t>
        </w:r>
      </w:hyperlink>
    </w:p>
    <w:p w:rsidR="002B518A" w:rsidRPr="002B518A" w:rsidRDefault="002B518A" w:rsidP="002B518A">
      <w:pPr>
        <w:spacing w:line="360" w:lineRule="auto"/>
        <w:ind w:firstLine="69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B518A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[20] - </w:t>
      </w:r>
      <w:proofErr w:type="spellStart"/>
      <w:r w:rsidRPr="002B518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Luhar</w:t>
      </w:r>
      <w:proofErr w:type="spellEnd"/>
      <w:r w:rsidRPr="002B518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 S, </w:t>
      </w:r>
      <w:proofErr w:type="spellStart"/>
      <w:r w:rsidRPr="002B518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Timæus</w:t>
      </w:r>
      <w:proofErr w:type="spellEnd"/>
      <w:r w:rsidRPr="002B518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 IM, Jones R, Cunningham S, Patel SA, </w:t>
      </w:r>
      <w:proofErr w:type="spellStart"/>
      <w:r w:rsidRPr="002B518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Kinra</w:t>
      </w:r>
      <w:proofErr w:type="spellEnd"/>
      <w:r w:rsidRPr="002B518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 S, Clarke L, </w:t>
      </w:r>
      <w:proofErr w:type="spellStart"/>
      <w:r w:rsidRPr="002B518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Houben</w:t>
      </w:r>
      <w:proofErr w:type="spellEnd"/>
      <w:r w:rsidRPr="002B518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 R. Forecasting the prevalence of overweight and obesity in India to 2040. </w:t>
      </w:r>
      <w:proofErr w:type="spellStart"/>
      <w:r w:rsidRPr="002B518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PLoS</w:t>
      </w:r>
      <w:proofErr w:type="spellEnd"/>
      <w:r w:rsidRPr="002B518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 One. 2020 Feb 24;15(2</w:t>
      </w:r>
      <w:proofErr w:type="gramStart"/>
      <w:r w:rsidRPr="002B518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):e</w:t>
      </w:r>
      <w:proofErr w:type="gramEnd"/>
      <w:r w:rsidRPr="002B518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0229438. </w:t>
      </w:r>
      <w:proofErr w:type="spellStart"/>
      <w:r w:rsidRPr="002B518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doi</w:t>
      </w:r>
      <w:proofErr w:type="spellEnd"/>
      <w:r w:rsidRPr="002B518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: 10.1371/journal.pone.0229438. PMID: 32092114; PMCID: PMC7039458.</w:t>
      </w:r>
    </w:p>
    <w:p w:rsidR="002B518A" w:rsidRPr="002B518A" w:rsidRDefault="002B518A">
      <w:pPr>
        <w:shd w:val="clear" w:color="auto" w:fill="FFFFFF"/>
        <w:spacing w:before="200" w:after="240"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</w:pPr>
    </w:p>
    <w:p w:rsidR="004C32E1" w:rsidRDefault="004C32E1">
      <w:pPr>
        <w:shd w:val="clear" w:color="auto" w:fill="FFFFFF"/>
        <w:spacing w:before="200" w:after="240" w:line="360" w:lineRule="auto"/>
        <w:ind w:firstLine="700"/>
        <w:rPr>
          <w:rFonts w:ascii="Times New Roman" w:eastAsia="Times New Roman" w:hAnsi="Times New Roman" w:cs="Times New Roman"/>
          <w:color w:val="222222"/>
          <w:sz w:val="23"/>
          <w:szCs w:val="23"/>
          <w:highlight w:val="white"/>
          <w:lang w:val="en-US"/>
        </w:rPr>
      </w:pPr>
    </w:p>
    <w:p w:rsidR="009E65CE" w:rsidRDefault="009E65CE">
      <w:pPr>
        <w:shd w:val="clear" w:color="auto" w:fill="FFFFFF"/>
        <w:spacing w:before="200" w:after="240" w:line="360" w:lineRule="auto"/>
        <w:ind w:firstLine="700"/>
        <w:rPr>
          <w:rFonts w:ascii="Times New Roman" w:eastAsia="Times New Roman" w:hAnsi="Times New Roman" w:cs="Times New Roman"/>
          <w:color w:val="222222"/>
          <w:sz w:val="23"/>
          <w:szCs w:val="23"/>
          <w:highlight w:val="white"/>
          <w:lang w:val="en-US"/>
        </w:rPr>
      </w:pPr>
    </w:p>
    <w:p w:rsidR="009E65CE" w:rsidRDefault="009E65CE">
      <w:pPr>
        <w:shd w:val="clear" w:color="auto" w:fill="FFFFFF"/>
        <w:spacing w:before="200" w:after="240" w:line="360" w:lineRule="auto"/>
        <w:ind w:firstLine="700"/>
        <w:rPr>
          <w:rFonts w:ascii="Times New Roman" w:eastAsia="Times New Roman" w:hAnsi="Times New Roman" w:cs="Times New Roman"/>
          <w:color w:val="222222"/>
          <w:sz w:val="23"/>
          <w:szCs w:val="23"/>
          <w:highlight w:val="white"/>
          <w:lang w:val="en-US"/>
        </w:rPr>
      </w:pPr>
    </w:p>
    <w:p w:rsidR="009E65CE" w:rsidRDefault="009E65CE">
      <w:pPr>
        <w:shd w:val="clear" w:color="auto" w:fill="FFFFFF"/>
        <w:spacing w:before="200" w:after="240" w:line="360" w:lineRule="auto"/>
        <w:ind w:firstLine="700"/>
        <w:rPr>
          <w:rFonts w:ascii="Times New Roman" w:eastAsia="Times New Roman" w:hAnsi="Times New Roman" w:cs="Times New Roman"/>
          <w:color w:val="222222"/>
          <w:sz w:val="23"/>
          <w:szCs w:val="23"/>
          <w:highlight w:val="white"/>
          <w:lang w:val="en-US"/>
        </w:rPr>
      </w:pPr>
    </w:p>
    <w:p w:rsidR="009E65CE" w:rsidRDefault="009E65CE">
      <w:pPr>
        <w:shd w:val="clear" w:color="auto" w:fill="FFFFFF"/>
        <w:spacing w:before="200" w:after="240" w:line="360" w:lineRule="auto"/>
        <w:ind w:firstLine="700"/>
        <w:rPr>
          <w:rFonts w:ascii="Times New Roman" w:eastAsia="Times New Roman" w:hAnsi="Times New Roman" w:cs="Times New Roman"/>
          <w:color w:val="222222"/>
          <w:sz w:val="23"/>
          <w:szCs w:val="23"/>
          <w:highlight w:val="white"/>
          <w:lang w:val="en-US"/>
        </w:rPr>
      </w:pPr>
    </w:p>
    <w:p w:rsidR="009E65CE" w:rsidRDefault="009E65CE">
      <w:pPr>
        <w:shd w:val="clear" w:color="auto" w:fill="FFFFFF"/>
        <w:spacing w:before="200" w:after="240" w:line="360" w:lineRule="auto"/>
        <w:ind w:firstLine="700"/>
        <w:rPr>
          <w:rFonts w:ascii="Times New Roman" w:eastAsia="Times New Roman" w:hAnsi="Times New Roman" w:cs="Times New Roman"/>
          <w:color w:val="222222"/>
          <w:sz w:val="23"/>
          <w:szCs w:val="23"/>
          <w:highlight w:val="white"/>
          <w:lang w:val="en-US"/>
        </w:rPr>
      </w:pPr>
    </w:p>
    <w:p w:rsidR="009E65CE" w:rsidRDefault="009E65CE">
      <w:pPr>
        <w:shd w:val="clear" w:color="auto" w:fill="FFFFFF"/>
        <w:spacing w:before="200" w:after="240" w:line="360" w:lineRule="auto"/>
        <w:ind w:firstLine="700"/>
        <w:rPr>
          <w:rFonts w:ascii="Times New Roman" w:eastAsia="Times New Roman" w:hAnsi="Times New Roman" w:cs="Times New Roman"/>
          <w:color w:val="222222"/>
          <w:sz w:val="23"/>
          <w:szCs w:val="23"/>
          <w:highlight w:val="white"/>
          <w:lang w:val="en-US"/>
        </w:rPr>
      </w:pPr>
    </w:p>
    <w:p w:rsidR="009E65CE" w:rsidRDefault="009E65CE">
      <w:pPr>
        <w:shd w:val="clear" w:color="auto" w:fill="FFFFFF"/>
        <w:spacing w:before="200" w:after="240" w:line="360" w:lineRule="auto"/>
        <w:ind w:firstLine="700"/>
        <w:rPr>
          <w:rFonts w:ascii="Times New Roman" w:eastAsia="Times New Roman" w:hAnsi="Times New Roman" w:cs="Times New Roman"/>
          <w:color w:val="222222"/>
          <w:sz w:val="23"/>
          <w:szCs w:val="23"/>
          <w:highlight w:val="white"/>
          <w:lang w:val="en-US"/>
        </w:rPr>
      </w:pPr>
    </w:p>
    <w:p w:rsidR="009E65CE" w:rsidRDefault="009E65CE">
      <w:pPr>
        <w:shd w:val="clear" w:color="auto" w:fill="FFFFFF"/>
        <w:spacing w:before="200" w:after="240" w:line="360" w:lineRule="auto"/>
        <w:ind w:firstLine="700"/>
        <w:rPr>
          <w:rFonts w:ascii="Times New Roman" w:eastAsia="Times New Roman" w:hAnsi="Times New Roman" w:cs="Times New Roman"/>
          <w:color w:val="222222"/>
          <w:sz w:val="23"/>
          <w:szCs w:val="23"/>
          <w:highlight w:val="white"/>
          <w:lang w:val="en-US"/>
        </w:rPr>
      </w:pPr>
    </w:p>
    <w:p w:rsidR="009E65CE" w:rsidRDefault="009E65CE">
      <w:pPr>
        <w:shd w:val="clear" w:color="auto" w:fill="FFFFFF"/>
        <w:spacing w:before="200" w:after="240" w:line="360" w:lineRule="auto"/>
        <w:ind w:firstLine="700"/>
        <w:rPr>
          <w:rFonts w:ascii="Times New Roman" w:eastAsia="Times New Roman" w:hAnsi="Times New Roman" w:cs="Times New Roman"/>
          <w:color w:val="222222"/>
          <w:sz w:val="23"/>
          <w:szCs w:val="23"/>
          <w:highlight w:val="white"/>
          <w:lang w:val="en-US"/>
        </w:rPr>
      </w:pPr>
    </w:p>
    <w:p w:rsidR="009E65CE" w:rsidRDefault="009E65CE">
      <w:pPr>
        <w:shd w:val="clear" w:color="auto" w:fill="FFFFFF"/>
        <w:spacing w:before="200" w:after="240" w:line="360" w:lineRule="auto"/>
        <w:ind w:firstLine="700"/>
        <w:rPr>
          <w:rFonts w:ascii="Times New Roman" w:eastAsia="Times New Roman" w:hAnsi="Times New Roman" w:cs="Times New Roman"/>
          <w:color w:val="222222"/>
          <w:sz w:val="23"/>
          <w:szCs w:val="23"/>
          <w:highlight w:val="white"/>
          <w:lang w:val="en-US"/>
        </w:rPr>
      </w:pPr>
    </w:p>
    <w:p w:rsidR="002B518A" w:rsidRDefault="002B518A">
      <w:pPr>
        <w:shd w:val="clear" w:color="auto" w:fill="FFFFFF"/>
        <w:spacing w:before="200" w:after="240" w:line="360" w:lineRule="auto"/>
        <w:ind w:firstLine="700"/>
        <w:rPr>
          <w:rFonts w:ascii="Times New Roman" w:eastAsia="Times New Roman" w:hAnsi="Times New Roman" w:cs="Times New Roman"/>
          <w:b/>
          <w:color w:val="222222"/>
          <w:sz w:val="23"/>
          <w:szCs w:val="23"/>
          <w:highlight w:val="white"/>
          <w:lang w:val="en-US"/>
        </w:rPr>
      </w:pPr>
    </w:p>
    <w:p w:rsidR="004C32E1" w:rsidRDefault="0079442C">
      <w:pPr>
        <w:shd w:val="clear" w:color="auto" w:fill="FFFFFF"/>
        <w:spacing w:before="200" w:after="240" w:line="360" w:lineRule="auto"/>
        <w:ind w:firstLine="700"/>
        <w:rPr>
          <w:rFonts w:ascii="Times New Roman" w:eastAsia="Times New Roman" w:hAnsi="Times New Roman" w:cs="Times New Roman"/>
          <w:b/>
          <w:color w:val="222222"/>
          <w:sz w:val="23"/>
          <w:szCs w:val="23"/>
          <w:highlight w:val="white"/>
        </w:rPr>
      </w:pPr>
      <w:bookmarkStart w:id="2" w:name="_GoBack"/>
      <w:bookmarkEnd w:id="2"/>
      <w:r>
        <w:rPr>
          <w:rFonts w:ascii="Times New Roman" w:eastAsia="Times New Roman" w:hAnsi="Times New Roman" w:cs="Times New Roman"/>
          <w:b/>
          <w:color w:val="222222"/>
          <w:sz w:val="23"/>
          <w:szCs w:val="23"/>
          <w:highlight w:val="white"/>
        </w:rPr>
        <w:lastRenderedPageBreak/>
        <w:t>ПРИЛОЖЕНИЕ:</w:t>
      </w:r>
    </w:p>
    <w:p w:rsidR="004C32E1" w:rsidRDefault="0079442C">
      <w:pPr>
        <w:shd w:val="clear" w:color="auto" w:fill="FFFFFF"/>
        <w:spacing w:before="200" w:after="240" w:line="360" w:lineRule="auto"/>
        <w:ind w:left="720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  <w:u w:val="singl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  <w:u w:val="single"/>
        </w:rPr>
        <w:t>Рисунки:</w:t>
      </w:r>
    </w:p>
    <w:p w:rsidR="004C32E1" w:rsidRDefault="0079442C">
      <w:pPr>
        <w:spacing w:before="20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114300" distB="114300" distL="114300" distR="114300">
            <wp:extent cx="4924377" cy="2761644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24377" cy="276164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C32E1" w:rsidRDefault="0079442C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Рис 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Относительный вклад продуктов питания/напитков и диетических добавок в общее потребление обычных питательных микроэлементов взрослыми в США в разбивке по полу и возрасту, по NHANES на 2011-2014 г. </w:t>
      </w:r>
    </w:p>
    <w:p w:rsidR="004C32E1" w:rsidRDefault="0079442C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Сокращения: М - мужчины; Ж - женщины. Аналитическая выборка включает лиц в возрасте старше 19 лет, которые не были беременны или кормили грудью. Графики отражают относительный вклад продуктов питания/напитков и пищевых добавок в общее потребление обычных микроэлементов, таких как кальций (A), витамин Д (B), калий (C) и холин (D). Проценты над каждым столбиком представляют относительный вклад пищевых добавок.</w:t>
      </w:r>
    </w:p>
    <w:p w:rsidR="004C32E1" w:rsidRDefault="004C32E1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32E1" w:rsidRDefault="0079442C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Таблицы:</w:t>
      </w:r>
    </w:p>
    <w:p w:rsidR="004C32E1" w:rsidRDefault="0079442C">
      <w:pPr>
        <w:shd w:val="clear" w:color="auto" w:fill="FFFFFF"/>
        <w:spacing w:before="200" w:after="240" w:line="360" w:lineRule="auto"/>
        <w:ind w:left="14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Таблица 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Макронутриентный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состав микс-пакета для мужчин и женщин в возрастном диапазоне 20-30 лет. </w:t>
      </w:r>
    </w:p>
    <w:tbl>
      <w:tblPr>
        <w:tblStyle w:val="a5"/>
        <w:tblW w:w="7560" w:type="dxa"/>
        <w:tblInd w:w="14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2430"/>
        <w:gridCol w:w="2400"/>
      </w:tblGrid>
      <w:tr w:rsidR="004C32E1"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32E1" w:rsidRDefault="004C32E1">
            <w:pPr>
              <w:widowControl w:val="0"/>
              <w:spacing w:before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32E1" w:rsidRDefault="0079442C">
            <w:pPr>
              <w:widowControl w:val="0"/>
              <w:spacing w:before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Мужчины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32E1" w:rsidRDefault="0079442C">
            <w:pPr>
              <w:widowControl w:val="0"/>
              <w:spacing w:before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Женщины</w:t>
            </w:r>
          </w:p>
        </w:tc>
      </w:tr>
      <w:tr w:rsidR="004C32E1"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32E1" w:rsidRDefault="0079442C">
            <w:pPr>
              <w:widowControl w:val="0"/>
              <w:spacing w:before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32E1" w:rsidRDefault="00BF74AD">
            <w:pPr>
              <w:widowControl w:val="0"/>
              <w:spacing w:before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301</w:t>
            </w:r>
            <w:r w:rsidR="00794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9442C">
              <w:rPr>
                <w:rFonts w:ascii="Times New Roman" w:eastAsia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32E1" w:rsidRDefault="00442665">
            <w:pPr>
              <w:widowControl w:val="0"/>
              <w:spacing w:before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222</w:t>
            </w:r>
            <w:r w:rsidR="00794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9442C">
              <w:rPr>
                <w:rFonts w:ascii="Times New Roman" w:eastAsia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</w:tr>
      <w:tr w:rsidR="004C32E1"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32E1" w:rsidRDefault="0079442C">
            <w:pPr>
              <w:widowControl w:val="0"/>
              <w:spacing w:before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 в т. ч. клетчатка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32E1" w:rsidRDefault="0079442C">
            <w:pPr>
              <w:widowControl w:val="0"/>
              <w:spacing w:before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BF74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32E1" w:rsidRDefault="0079442C">
            <w:pPr>
              <w:widowControl w:val="0"/>
              <w:spacing w:before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426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</w:tr>
      <w:tr w:rsidR="004C32E1"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32E1" w:rsidRDefault="0079442C">
            <w:pPr>
              <w:widowControl w:val="0"/>
              <w:spacing w:before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32E1" w:rsidRDefault="00BF74AD">
            <w:pPr>
              <w:widowControl w:val="0"/>
              <w:spacing w:before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65</w:t>
            </w:r>
            <w:r w:rsidR="00794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9442C">
              <w:rPr>
                <w:rFonts w:ascii="Times New Roman" w:eastAsia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32E1" w:rsidRDefault="00442665">
            <w:pPr>
              <w:widowControl w:val="0"/>
              <w:spacing w:before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794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="0079442C">
              <w:rPr>
                <w:rFonts w:ascii="Times New Roman" w:eastAsia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</w:tr>
      <w:tr w:rsidR="004C32E1"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32E1" w:rsidRDefault="0079442C">
            <w:pPr>
              <w:widowControl w:val="0"/>
              <w:spacing w:before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32E1" w:rsidRDefault="00BF74AD">
            <w:pPr>
              <w:widowControl w:val="0"/>
              <w:spacing w:before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60</w:t>
            </w:r>
            <w:r w:rsidR="00794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9442C">
              <w:rPr>
                <w:rFonts w:ascii="Times New Roman" w:eastAsia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32E1" w:rsidRDefault="00442665">
            <w:pPr>
              <w:widowControl w:val="0"/>
              <w:spacing w:before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44</w:t>
            </w:r>
            <w:r w:rsidR="00794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9442C">
              <w:rPr>
                <w:rFonts w:ascii="Times New Roman" w:eastAsia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</w:tr>
      <w:tr w:rsidR="004C32E1"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32E1" w:rsidRDefault="0079442C">
            <w:pPr>
              <w:widowControl w:val="0"/>
              <w:spacing w:before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т. ч.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Линолевая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кислота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32E1" w:rsidRDefault="0079442C">
            <w:pPr>
              <w:widowControl w:val="0"/>
              <w:spacing w:before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BF74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32E1" w:rsidRDefault="0079442C">
            <w:pPr>
              <w:widowControl w:val="0"/>
              <w:spacing w:before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426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</w:tr>
      <w:tr w:rsidR="004C32E1"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32E1" w:rsidRDefault="0079442C">
            <w:pPr>
              <w:widowControl w:val="0"/>
              <w:spacing w:before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в т. ч. 𝛼-Линоленовая кислота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32E1" w:rsidRDefault="0079442C">
            <w:pPr>
              <w:widowControl w:val="0"/>
              <w:spacing w:before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F74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32E1" w:rsidRDefault="0079442C">
            <w:pPr>
              <w:widowControl w:val="0"/>
              <w:spacing w:before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426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</w:tr>
    </w:tbl>
    <w:p w:rsidR="004C32E1" w:rsidRDefault="004C32E1">
      <w:pPr>
        <w:shd w:val="clear" w:color="auto" w:fill="FFFFFF"/>
        <w:spacing w:before="200" w:after="240" w:line="360" w:lineRule="auto"/>
        <w:ind w:left="14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32E1" w:rsidRDefault="0079442C">
      <w:pPr>
        <w:shd w:val="clear" w:color="auto" w:fill="FFFFFF"/>
        <w:spacing w:before="200" w:after="240" w:line="360" w:lineRule="auto"/>
        <w:ind w:left="14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Таблица 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Витаминный состав микс-пакета для мужчин и женщин в возрастном диапазоне 20-30 лет. </w:t>
      </w:r>
    </w:p>
    <w:tbl>
      <w:tblPr>
        <w:tblStyle w:val="a6"/>
        <w:tblW w:w="7609" w:type="dxa"/>
        <w:tblInd w:w="14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37"/>
        <w:gridCol w:w="2536"/>
        <w:gridCol w:w="2536"/>
      </w:tblGrid>
      <w:tr w:rsidR="004C32E1">
        <w:tc>
          <w:tcPr>
            <w:tcW w:w="2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32E1" w:rsidRDefault="004C32E1">
            <w:pPr>
              <w:widowControl w:val="0"/>
              <w:spacing w:before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32E1" w:rsidRDefault="0079442C">
            <w:pPr>
              <w:widowControl w:val="0"/>
              <w:spacing w:before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Мужчины</w:t>
            </w:r>
          </w:p>
        </w:tc>
        <w:tc>
          <w:tcPr>
            <w:tcW w:w="2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32E1" w:rsidRDefault="0079442C">
            <w:pPr>
              <w:widowControl w:val="0"/>
              <w:spacing w:before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Женщины</w:t>
            </w:r>
          </w:p>
        </w:tc>
      </w:tr>
      <w:tr w:rsidR="004C32E1">
        <w:tc>
          <w:tcPr>
            <w:tcW w:w="2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32E1" w:rsidRDefault="0079442C">
            <w:pPr>
              <w:widowControl w:val="0"/>
              <w:spacing w:before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Витамин А</w:t>
            </w:r>
          </w:p>
        </w:tc>
        <w:tc>
          <w:tcPr>
            <w:tcW w:w="2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32E1" w:rsidRDefault="00BF74AD">
            <w:pPr>
              <w:widowControl w:val="0"/>
              <w:spacing w:before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900</w:t>
            </w:r>
            <w:r w:rsidR="00794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мкг</w:t>
            </w:r>
          </w:p>
        </w:tc>
        <w:tc>
          <w:tcPr>
            <w:tcW w:w="2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32E1" w:rsidRDefault="00442665">
            <w:pPr>
              <w:widowControl w:val="0"/>
              <w:spacing w:before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70</w:t>
            </w:r>
            <w:r w:rsidR="0079442C">
              <w:rPr>
                <w:rFonts w:ascii="Times New Roman" w:eastAsia="Times New Roman" w:hAnsi="Times New Roman" w:cs="Times New Roman"/>
                <w:sz w:val="24"/>
                <w:szCs w:val="24"/>
              </w:rPr>
              <w:t>0 мкг</w:t>
            </w:r>
          </w:p>
        </w:tc>
      </w:tr>
      <w:tr w:rsidR="004C32E1">
        <w:tc>
          <w:tcPr>
            <w:tcW w:w="2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32E1" w:rsidRDefault="0079442C">
            <w:pPr>
              <w:widowControl w:val="0"/>
              <w:spacing w:before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Витамин С</w:t>
            </w:r>
          </w:p>
        </w:tc>
        <w:tc>
          <w:tcPr>
            <w:tcW w:w="2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32E1" w:rsidRDefault="00BF74AD">
            <w:pPr>
              <w:widowControl w:val="0"/>
              <w:spacing w:before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90</w:t>
            </w:r>
            <w:r w:rsidR="00794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мг</w:t>
            </w:r>
          </w:p>
        </w:tc>
        <w:tc>
          <w:tcPr>
            <w:tcW w:w="2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32E1" w:rsidRDefault="00442665">
            <w:pPr>
              <w:widowControl w:val="0"/>
              <w:spacing w:before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75</w:t>
            </w:r>
            <w:r w:rsidR="00794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мкг</w:t>
            </w:r>
          </w:p>
        </w:tc>
      </w:tr>
      <w:tr w:rsidR="004C32E1">
        <w:tc>
          <w:tcPr>
            <w:tcW w:w="2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32E1" w:rsidRDefault="0079442C">
            <w:pPr>
              <w:widowControl w:val="0"/>
              <w:spacing w:before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Витамин Д</w:t>
            </w:r>
          </w:p>
        </w:tc>
        <w:tc>
          <w:tcPr>
            <w:tcW w:w="2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32E1" w:rsidRDefault="0079442C">
            <w:pPr>
              <w:widowControl w:val="0"/>
              <w:spacing w:before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F74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мкг</w:t>
            </w:r>
          </w:p>
        </w:tc>
        <w:tc>
          <w:tcPr>
            <w:tcW w:w="2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32E1" w:rsidRDefault="0079442C">
            <w:pPr>
              <w:widowControl w:val="0"/>
              <w:spacing w:before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426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мкг</w:t>
            </w:r>
          </w:p>
        </w:tc>
      </w:tr>
      <w:tr w:rsidR="004C32E1">
        <w:tc>
          <w:tcPr>
            <w:tcW w:w="2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32E1" w:rsidRDefault="0079442C">
            <w:pPr>
              <w:widowControl w:val="0"/>
              <w:spacing w:before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Витамин В6</w:t>
            </w:r>
          </w:p>
        </w:tc>
        <w:tc>
          <w:tcPr>
            <w:tcW w:w="2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32E1" w:rsidRDefault="0079442C">
            <w:pPr>
              <w:widowControl w:val="0"/>
              <w:spacing w:before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F74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мг</w:t>
            </w:r>
          </w:p>
        </w:tc>
        <w:tc>
          <w:tcPr>
            <w:tcW w:w="2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32E1" w:rsidRDefault="0079442C">
            <w:pPr>
              <w:widowControl w:val="0"/>
              <w:spacing w:before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426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мг</w:t>
            </w:r>
          </w:p>
        </w:tc>
      </w:tr>
      <w:tr w:rsidR="004C32E1">
        <w:tc>
          <w:tcPr>
            <w:tcW w:w="2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32E1" w:rsidRDefault="0079442C">
            <w:pPr>
              <w:widowControl w:val="0"/>
              <w:spacing w:before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Витамин Е</w:t>
            </w:r>
          </w:p>
        </w:tc>
        <w:tc>
          <w:tcPr>
            <w:tcW w:w="2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32E1" w:rsidRDefault="0079442C">
            <w:pPr>
              <w:widowControl w:val="0"/>
              <w:spacing w:before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F74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мг</w:t>
            </w:r>
          </w:p>
        </w:tc>
        <w:tc>
          <w:tcPr>
            <w:tcW w:w="2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32E1" w:rsidRDefault="0079442C">
            <w:pPr>
              <w:widowControl w:val="0"/>
              <w:spacing w:before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426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мг</w:t>
            </w:r>
          </w:p>
        </w:tc>
      </w:tr>
      <w:tr w:rsidR="004C32E1">
        <w:tc>
          <w:tcPr>
            <w:tcW w:w="2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32E1" w:rsidRDefault="0079442C">
            <w:pPr>
              <w:widowControl w:val="0"/>
              <w:spacing w:before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Витамин К</w:t>
            </w:r>
          </w:p>
        </w:tc>
        <w:tc>
          <w:tcPr>
            <w:tcW w:w="2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32E1" w:rsidRDefault="00BF74AD">
            <w:pPr>
              <w:widowControl w:val="0"/>
              <w:spacing w:before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120</w:t>
            </w:r>
            <w:r w:rsidR="00794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мкг</w:t>
            </w:r>
          </w:p>
        </w:tc>
        <w:tc>
          <w:tcPr>
            <w:tcW w:w="2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32E1" w:rsidRDefault="00442665">
            <w:pPr>
              <w:widowControl w:val="0"/>
              <w:spacing w:before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90</w:t>
            </w:r>
            <w:r w:rsidR="00794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мкг</w:t>
            </w:r>
          </w:p>
        </w:tc>
      </w:tr>
      <w:tr w:rsidR="004C32E1">
        <w:tc>
          <w:tcPr>
            <w:tcW w:w="2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32E1" w:rsidRDefault="0079442C">
            <w:pPr>
              <w:widowControl w:val="0"/>
              <w:spacing w:before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Тиамин</w:t>
            </w:r>
          </w:p>
        </w:tc>
        <w:tc>
          <w:tcPr>
            <w:tcW w:w="2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32E1" w:rsidRDefault="0079442C">
            <w:pPr>
              <w:widowControl w:val="0"/>
              <w:spacing w:before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F74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мг</w:t>
            </w:r>
          </w:p>
        </w:tc>
        <w:tc>
          <w:tcPr>
            <w:tcW w:w="2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32E1" w:rsidRDefault="00442665">
            <w:pPr>
              <w:widowControl w:val="0"/>
              <w:spacing w:before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79442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794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мг</w:t>
            </w:r>
          </w:p>
        </w:tc>
      </w:tr>
      <w:tr w:rsidR="004C32E1">
        <w:tc>
          <w:tcPr>
            <w:tcW w:w="2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32E1" w:rsidRDefault="0079442C">
            <w:pPr>
              <w:widowControl w:val="0"/>
              <w:spacing w:before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Витамин В12</w:t>
            </w:r>
          </w:p>
        </w:tc>
        <w:tc>
          <w:tcPr>
            <w:tcW w:w="2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32E1" w:rsidRDefault="00BF74AD">
            <w:pPr>
              <w:widowControl w:val="0"/>
              <w:spacing w:before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2.4</w:t>
            </w:r>
            <w:r w:rsidR="00794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мкг</w:t>
            </w:r>
          </w:p>
        </w:tc>
        <w:tc>
          <w:tcPr>
            <w:tcW w:w="2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32E1" w:rsidRDefault="00442665">
            <w:pPr>
              <w:widowControl w:val="0"/>
              <w:spacing w:before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79442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="00794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мкг</w:t>
            </w:r>
          </w:p>
        </w:tc>
      </w:tr>
      <w:tr w:rsidR="004C32E1">
        <w:tc>
          <w:tcPr>
            <w:tcW w:w="2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32E1" w:rsidRDefault="0079442C">
            <w:pPr>
              <w:widowControl w:val="0"/>
              <w:spacing w:before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Рибофлавин</w:t>
            </w:r>
          </w:p>
        </w:tc>
        <w:tc>
          <w:tcPr>
            <w:tcW w:w="2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32E1" w:rsidRDefault="0079442C">
            <w:pPr>
              <w:widowControl w:val="0"/>
              <w:spacing w:before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F74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мг</w:t>
            </w:r>
          </w:p>
        </w:tc>
        <w:tc>
          <w:tcPr>
            <w:tcW w:w="2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32E1" w:rsidRDefault="00442665">
            <w:pPr>
              <w:widowControl w:val="0"/>
              <w:spacing w:before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79442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794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мг</w:t>
            </w:r>
          </w:p>
        </w:tc>
      </w:tr>
      <w:tr w:rsidR="004C32E1">
        <w:tc>
          <w:tcPr>
            <w:tcW w:w="2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32E1" w:rsidRDefault="0079442C">
            <w:pPr>
              <w:widowControl w:val="0"/>
              <w:spacing w:before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Фолиевая кислота</w:t>
            </w:r>
          </w:p>
        </w:tc>
        <w:tc>
          <w:tcPr>
            <w:tcW w:w="2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32E1" w:rsidRDefault="00BF74AD">
            <w:pPr>
              <w:widowControl w:val="0"/>
              <w:spacing w:before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400</w:t>
            </w:r>
            <w:r w:rsidR="00794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мкг</w:t>
            </w:r>
          </w:p>
        </w:tc>
        <w:tc>
          <w:tcPr>
            <w:tcW w:w="2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32E1" w:rsidRDefault="00442665">
            <w:pPr>
              <w:widowControl w:val="0"/>
              <w:spacing w:before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</w:t>
            </w:r>
            <w:r w:rsidR="0079442C">
              <w:rPr>
                <w:rFonts w:ascii="Times New Roman" w:eastAsia="Times New Roman" w:hAnsi="Times New Roman" w:cs="Times New Roman"/>
                <w:sz w:val="24"/>
                <w:szCs w:val="24"/>
              </w:rPr>
              <w:t>0 мкг</w:t>
            </w:r>
          </w:p>
        </w:tc>
      </w:tr>
      <w:tr w:rsidR="004C32E1">
        <w:tc>
          <w:tcPr>
            <w:tcW w:w="2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32E1" w:rsidRDefault="0079442C">
            <w:pPr>
              <w:widowControl w:val="0"/>
              <w:spacing w:before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Ниацин</w:t>
            </w:r>
          </w:p>
        </w:tc>
        <w:tc>
          <w:tcPr>
            <w:tcW w:w="2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32E1" w:rsidRDefault="0079442C">
            <w:pPr>
              <w:widowControl w:val="0"/>
              <w:spacing w:before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F74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мг</w:t>
            </w:r>
          </w:p>
        </w:tc>
        <w:tc>
          <w:tcPr>
            <w:tcW w:w="2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32E1" w:rsidRDefault="0079442C">
            <w:pPr>
              <w:widowControl w:val="0"/>
              <w:spacing w:before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426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мг</w:t>
            </w:r>
          </w:p>
        </w:tc>
      </w:tr>
      <w:tr w:rsidR="004C32E1">
        <w:tc>
          <w:tcPr>
            <w:tcW w:w="2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32E1" w:rsidRDefault="0079442C">
            <w:pPr>
              <w:widowControl w:val="0"/>
              <w:spacing w:before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Холин</w:t>
            </w:r>
          </w:p>
        </w:tc>
        <w:tc>
          <w:tcPr>
            <w:tcW w:w="2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32E1" w:rsidRDefault="0079442C">
            <w:pPr>
              <w:widowControl w:val="0"/>
              <w:spacing w:before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</w:t>
            </w:r>
            <w:r w:rsidR="00BF74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32E1" w:rsidRDefault="0079442C">
            <w:pPr>
              <w:widowControl w:val="0"/>
              <w:spacing w:before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</w:t>
            </w:r>
            <w:r w:rsidR="004426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4C32E1">
        <w:tc>
          <w:tcPr>
            <w:tcW w:w="2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32E1" w:rsidRDefault="0079442C">
            <w:pPr>
              <w:widowControl w:val="0"/>
              <w:spacing w:before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Пантотеновая кислота</w:t>
            </w:r>
          </w:p>
        </w:tc>
        <w:tc>
          <w:tcPr>
            <w:tcW w:w="2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32E1" w:rsidRDefault="00BF74AD">
            <w:pPr>
              <w:widowControl w:val="0"/>
              <w:spacing w:before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794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мг</w:t>
            </w:r>
          </w:p>
        </w:tc>
        <w:tc>
          <w:tcPr>
            <w:tcW w:w="2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32E1" w:rsidRDefault="00442665">
            <w:pPr>
              <w:widowControl w:val="0"/>
              <w:spacing w:before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794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мг</w:t>
            </w:r>
          </w:p>
        </w:tc>
      </w:tr>
      <w:tr w:rsidR="004C32E1">
        <w:tc>
          <w:tcPr>
            <w:tcW w:w="2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32E1" w:rsidRDefault="0079442C">
            <w:pPr>
              <w:widowControl w:val="0"/>
              <w:spacing w:before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Биотин</w:t>
            </w:r>
          </w:p>
        </w:tc>
        <w:tc>
          <w:tcPr>
            <w:tcW w:w="2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32E1" w:rsidRDefault="00BF74AD">
            <w:pPr>
              <w:widowControl w:val="0"/>
              <w:spacing w:before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</w:t>
            </w:r>
            <w:r w:rsidR="00794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мкг</w:t>
            </w:r>
          </w:p>
        </w:tc>
        <w:tc>
          <w:tcPr>
            <w:tcW w:w="2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32E1" w:rsidRDefault="00442665">
            <w:pPr>
              <w:widowControl w:val="0"/>
              <w:spacing w:before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</w:t>
            </w:r>
            <w:r w:rsidR="00794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мкг</w:t>
            </w:r>
          </w:p>
        </w:tc>
      </w:tr>
    </w:tbl>
    <w:p w:rsidR="004C32E1" w:rsidRDefault="004C32E1">
      <w:pPr>
        <w:shd w:val="clear" w:color="auto" w:fill="FFFFFF"/>
        <w:spacing w:before="200" w:after="240" w:line="360" w:lineRule="auto"/>
        <w:ind w:left="14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32E1" w:rsidRDefault="0079442C">
      <w:pPr>
        <w:shd w:val="clear" w:color="auto" w:fill="FFFFFF"/>
        <w:spacing w:before="200" w:after="240" w:line="360" w:lineRule="auto"/>
        <w:ind w:left="14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Таблица 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Минеральный состав микс-пакета для мужчин и женщин в возрастном диапазоне 20-30 лет. </w:t>
      </w:r>
    </w:p>
    <w:tbl>
      <w:tblPr>
        <w:tblStyle w:val="a7"/>
        <w:tblW w:w="7609" w:type="dxa"/>
        <w:tblInd w:w="14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37"/>
        <w:gridCol w:w="2536"/>
        <w:gridCol w:w="2536"/>
      </w:tblGrid>
      <w:tr w:rsidR="004C32E1">
        <w:tc>
          <w:tcPr>
            <w:tcW w:w="2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32E1" w:rsidRDefault="004C32E1">
            <w:pPr>
              <w:widowControl w:val="0"/>
              <w:spacing w:before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32E1" w:rsidRDefault="0079442C">
            <w:pPr>
              <w:widowControl w:val="0"/>
              <w:spacing w:before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Мужчины</w:t>
            </w:r>
          </w:p>
        </w:tc>
        <w:tc>
          <w:tcPr>
            <w:tcW w:w="2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32E1" w:rsidRDefault="0079442C">
            <w:pPr>
              <w:widowControl w:val="0"/>
              <w:spacing w:before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Женщины</w:t>
            </w:r>
          </w:p>
        </w:tc>
      </w:tr>
      <w:tr w:rsidR="004C32E1">
        <w:tc>
          <w:tcPr>
            <w:tcW w:w="2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32E1" w:rsidRDefault="0079442C">
            <w:pPr>
              <w:widowControl w:val="0"/>
              <w:spacing w:before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Кальций</w:t>
            </w:r>
          </w:p>
        </w:tc>
        <w:tc>
          <w:tcPr>
            <w:tcW w:w="2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32E1" w:rsidRDefault="00BF74AD">
            <w:pPr>
              <w:widowControl w:val="0"/>
              <w:spacing w:before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79442C">
              <w:rPr>
                <w:rFonts w:ascii="Times New Roman" w:eastAsia="Times New Roman" w:hAnsi="Times New Roman" w:cs="Times New Roman"/>
                <w:sz w:val="24"/>
                <w:szCs w:val="24"/>
              </w:rPr>
              <w:t>00 мг</w:t>
            </w:r>
          </w:p>
        </w:tc>
        <w:tc>
          <w:tcPr>
            <w:tcW w:w="2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32E1" w:rsidRDefault="00442665">
            <w:pPr>
              <w:widowControl w:val="0"/>
              <w:spacing w:before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79442C">
              <w:rPr>
                <w:rFonts w:ascii="Times New Roman" w:eastAsia="Times New Roman" w:hAnsi="Times New Roman" w:cs="Times New Roman"/>
                <w:sz w:val="24"/>
                <w:szCs w:val="24"/>
              </w:rPr>
              <w:t>00 мг</w:t>
            </w:r>
          </w:p>
        </w:tc>
      </w:tr>
      <w:tr w:rsidR="004C32E1">
        <w:tc>
          <w:tcPr>
            <w:tcW w:w="2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32E1" w:rsidRDefault="0079442C">
            <w:pPr>
              <w:widowControl w:val="0"/>
              <w:spacing w:before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Хлориды</w:t>
            </w:r>
          </w:p>
        </w:tc>
        <w:tc>
          <w:tcPr>
            <w:tcW w:w="2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32E1" w:rsidRDefault="00BF74AD">
            <w:pPr>
              <w:widowControl w:val="0"/>
              <w:spacing w:before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2.3</w:t>
            </w:r>
            <w:r w:rsidR="00794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32E1" w:rsidRDefault="00442665">
            <w:pPr>
              <w:widowControl w:val="0"/>
              <w:spacing w:before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79442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794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4C32E1">
        <w:tc>
          <w:tcPr>
            <w:tcW w:w="2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32E1" w:rsidRDefault="0079442C">
            <w:pPr>
              <w:widowControl w:val="0"/>
              <w:spacing w:before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Хром</w:t>
            </w:r>
          </w:p>
        </w:tc>
        <w:tc>
          <w:tcPr>
            <w:tcW w:w="2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32E1" w:rsidRDefault="00BF74AD">
            <w:pPr>
              <w:widowControl w:val="0"/>
              <w:spacing w:before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35</w:t>
            </w:r>
            <w:r w:rsidR="00794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мкг</w:t>
            </w:r>
          </w:p>
        </w:tc>
        <w:tc>
          <w:tcPr>
            <w:tcW w:w="2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32E1" w:rsidRDefault="0079442C">
            <w:pPr>
              <w:widowControl w:val="0"/>
              <w:spacing w:before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426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мкг</w:t>
            </w:r>
          </w:p>
        </w:tc>
      </w:tr>
      <w:tr w:rsidR="004C32E1">
        <w:tc>
          <w:tcPr>
            <w:tcW w:w="2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32E1" w:rsidRDefault="0079442C">
            <w:pPr>
              <w:widowControl w:val="0"/>
              <w:spacing w:before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Медь</w:t>
            </w:r>
          </w:p>
        </w:tc>
        <w:tc>
          <w:tcPr>
            <w:tcW w:w="2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32E1" w:rsidRDefault="00BF74AD">
            <w:pPr>
              <w:widowControl w:val="0"/>
              <w:spacing w:before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900</w:t>
            </w:r>
            <w:r w:rsidR="00794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мкг</w:t>
            </w:r>
          </w:p>
        </w:tc>
        <w:tc>
          <w:tcPr>
            <w:tcW w:w="2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32E1" w:rsidRDefault="00442665">
            <w:pPr>
              <w:widowControl w:val="0"/>
              <w:spacing w:before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90</w:t>
            </w:r>
            <w:r w:rsidR="0079442C">
              <w:rPr>
                <w:rFonts w:ascii="Times New Roman" w:eastAsia="Times New Roman" w:hAnsi="Times New Roman" w:cs="Times New Roman"/>
                <w:sz w:val="24"/>
                <w:szCs w:val="24"/>
              </w:rPr>
              <w:t>0 мкг</w:t>
            </w:r>
          </w:p>
        </w:tc>
      </w:tr>
      <w:tr w:rsidR="004C32E1">
        <w:tc>
          <w:tcPr>
            <w:tcW w:w="2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32E1" w:rsidRDefault="0079442C">
            <w:pPr>
              <w:widowControl w:val="0"/>
              <w:spacing w:before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Фтор</w:t>
            </w:r>
          </w:p>
        </w:tc>
        <w:tc>
          <w:tcPr>
            <w:tcW w:w="2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32E1" w:rsidRDefault="00BF74AD">
            <w:pPr>
              <w:widowControl w:val="0"/>
              <w:spacing w:before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="00794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мг</w:t>
            </w:r>
          </w:p>
        </w:tc>
        <w:tc>
          <w:tcPr>
            <w:tcW w:w="2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32E1" w:rsidRDefault="00442665">
            <w:pPr>
              <w:widowControl w:val="0"/>
              <w:spacing w:before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794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мг</w:t>
            </w:r>
          </w:p>
        </w:tc>
      </w:tr>
      <w:tr w:rsidR="004C32E1">
        <w:tc>
          <w:tcPr>
            <w:tcW w:w="2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32E1" w:rsidRDefault="0079442C">
            <w:pPr>
              <w:widowControl w:val="0"/>
              <w:spacing w:before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Йод</w:t>
            </w:r>
          </w:p>
        </w:tc>
        <w:tc>
          <w:tcPr>
            <w:tcW w:w="2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32E1" w:rsidRDefault="0079442C">
            <w:pPr>
              <w:widowControl w:val="0"/>
              <w:spacing w:before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F74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мкг</w:t>
            </w:r>
          </w:p>
        </w:tc>
        <w:tc>
          <w:tcPr>
            <w:tcW w:w="2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32E1" w:rsidRDefault="0079442C">
            <w:pPr>
              <w:widowControl w:val="0"/>
              <w:spacing w:before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426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 мкг</w:t>
            </w:r>
          </w:p>
        </w:tc>
      </w:tr>
      <w:tr w:rsidR="004C32E1">
        <w:tc>
          <w:tcPr>
            <w:tcW w:w="2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32E1" w:rsidRDefault="0079442C">
            <w:pPr>
              <w:widowControl w:val="0"/>
              <w:spacing w:before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Железо</w:t>
            </w:r>
          </w:p>
        </w:tc>
        <w:tc>
          <w:tcPr>
            <w:tcW w:w="2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32E1" w:rsidRDefault="00442665">
            <w:pPr>
              <w:widowControl w:val="0"/>
              <w:spacing w:before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="00794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мг</w:t>
            </w:r>
          </w:p>
        </w:tc>
        <w:tc>
          <w:tcPr>
            <w:tcW w:w="2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32E1" w:rsidRDefault="0079442C">
            <w:pPr>
              <w:widowControl w:val="0"/>
              <w:spacing w:before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426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мг</w:t>
            </w:r>
          </w:p>
        </w:tc>
      </w:tr>
      <w:tr w:rsidR="004C32E1">
        <w:tc>
          <w:tcPr>
            <w:tcW w:w="2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32E1" w:rsidRDefault="0079442C">
            <w:pPr>
              <w:widowControl w:val="0"/>
              <w:spacing w:before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Магний</w:t>
            </w:r>
          </w:p>
        </w:tc>
        <w:tc>
          <w:tcPr>
            <w:tcW w:w="2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32E1" w:rsidRDefault="00442665">
            <w:pPr>
              <w:widowControl w:val="0"/>
              <w:spacing w:before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400</w:t>
            </w:r>
            <w:r w:rsidR="00794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мг</w:t>
            </w:r>
          </w:p>
        </w:tc>
        <w:tc>
          <w:tcPr>
            <w:tcW w:w="2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32E1" w:rsidRDefault="00442665">
            <w:pPr>
              <w:widowControl w:val="0"/>
              <w:spacing w:before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310</w:t>
            </w:r>
            <w:r w:rsidR="00794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мг</w:t>
            </w:r>
          </w:p>
        </w:tc>
      </w:tr>
      <w:tr w:rsidR="004C32E1">
        <w:tc>
          <w:tcPr>
            <w:tcW w:w="2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32E1" w:rsidRDefault="0079442C">
            <w:pPr>
              <w:widowControl w:val="0"/>
              <w:spacing w:before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Марганец</w:t>
            </w:r>
          </w:p>
        </w:tc>
        <w:tc>
          <w:tcPr>
            <w:tcW w:w="2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32E1" w:rsidRDefault="00442665">
            <w:pPr>
              <w:widowControl w:val="0"/>
              <w:spacing w:before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2.3</w:t>
            </w:r>
            <w:r w:rsidR="00794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мг</w:t>
            </w:r>
          </w:p>
        </w:tc>
        <w:tc>
          <w:tcPr>
            <w:tcW w:w="2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32E1" w:rsidRDefault="0079442C">
            <w:pPr>
              <w:widowControl w:val="0"/>
              <w:spacing w:before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4426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мг</w:t>
            </w:r>
          </w:p>
        </w:tc>
      </w:tr>
      <w:tr w:rsidR="004C32E1">
        <w:tc>
          <w:tcPr>
            <w:tcW w:w="2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32E1" w:rsidRDefault="0079442C">
            <w:pPr>
              <w:widowControl w:val="0"/>
              <w:spacing w:before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Молибден</w:t>
            </w:r>
          </w:p>
        </w:tc>
        <w:tc>
          <w:tcPr>
            <w:tcW w:w="2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32E1" w:rsidRDefault="00442665">
            <w:pPr>
              <w:widowControl w:val="0"/>
              <w:spacing w:before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45</w:t>
            </w:r>
            <w:r w:rsidR="00794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мкг</w:t>
            </w:r>
          </w:p>
        </w:tc>
        <w:tc>
          <w:tcPr>
            <w:tcW w:w="2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32E1" w:rsidRDefault="00442665">
            <w:pPr>
              <w:widowControl w:val="0"/>
              <w:spacing w:before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45</w:t>
            </w:r>
            <w:r w:rsidR="00794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мкг</w:t>
            </w:r>
          </w:p>
        </w:tc>
      </w:tr>
      <w:tr w:rsidR="004C32E1">
        <w:tc>
          <w:tcPr>
            <w:tcW w:w="2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32E1" w:rsidRDefault="0079442C">
            <w:pPr>
              <w:widowControl w:val="0"/>
              <w:spacing w:before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Фосфор</w:t>
            </w:r>
          </w:p>
        </w:tc>
        <w:tc>
          <w:tcPr>
            <w:tcW w:w="2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32E1" w:rsidRDefault="0079442C">
            <w:pPr>
              <w:widowControl w:val="0"/>
              <w:spacing w:before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</w:t>
            </w:r>
            <w:r w:rsidR="004426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мг</w:t>
            </w:r>
          </w:p>
        </w:tc>
        <w:tc>
          <w:tcPr>
            <w:tcW w:w="2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32E1" w:rsidRDefault="0079442C">
            <w:pPr>
              <w:widowControl w:val="0"/>
              <w:spacing w:before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</w:t>
            </w:r>
            <w:r w:rsidR="004426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мг</w:t>
            </w:r>
          </w:p>
        </w:tc>
      </w:tr>
      <w:tr w:rsidR="004C32E1">
        <w:tc>
          <w:tcPr>
            <w:tcW w:w="2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32E1" w:rsidRDefault="0079442C">
            <w:pPr>
              <w:widowControl w:val="0"/>
              <w:spacing w:before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Калий</w:t>
            </w:r>
          </w:p>
        </w:tc>
        <w:tc>
          <w:tcPr>
            <w:tcW w:w="2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32E1" w:rsidRDefault="00442665">
            <w:pPr>
              <w:widowControl w:val="0"/>
              <w:spacing w:before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</w:t>
            </w:r>
            <w:r w:rsidR="0079442C">
              <w:rPr>
                <w:rFonts w:ascii="Times New Roman" w:eastAsia="Times New Roman" w:hAnsi="Times New Roman" w:cs="Times New Roman"/>
                <w:sz w:val="24"/>
                <w:szCs w:val="24"/>
              </w:rPr>
              <w:t>00 мг</w:t>
            </w:r>
          </w:p>
        </w:tc>
        <w:tc>
          <w:tcPr>
            <w:tcW w:w="2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32E1" w:rsidRDefault="0079442C">
            <w:pPr>
              <w:widowControl w:val="0"/>
              <w:spacing w:before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426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 мг</w:t>
            </w:r>
          </w:p>
        </w:tc>
      </w:tr>
      <w:tr w:rsidR="004C32E1">
        <w:tc>
          <w:tcPr>
            <w:tcW w:w="2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32E1" w:rsidRDefault="0079442C">
            <w:pPr>
              <w:widowControl w:val="0"/>
              <w:spacing w:before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Селен</w:t>
            </w:r>
          </w:p>
        </w:tc>
        <w:tc>
          <w:tcPr>
            <w:tcW w:w="2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32E1" w:rsidRDefault="00442665">
            <w:pPr>
              <w:widowControl w:val="0"/>
              <w:spacing w:before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55</w:t>
            </w:r>
            <w:r w:rsidR="00794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мкг</w:t>
            </w:r>
          </w:p>
        </w:tc>
        <w:tc>
          <w:tcPr>
            <w:tcW w:w="2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32E1" w:rsidRDefault="00442665">
            <w:pPr>
              <w:widowControl w:val="0"/>
              <w:spacing w:before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55</w:t>
            </w:r>
            <w:r w:rsidR="00794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мкг</w:t>
            </w:r>
          </w:p>
        </w:tc>
      </w:tr>
      <w:tr w:rsidR="004C32E1">
        <w:tc>
          <w:tcPr>
            <w:tcW w:w="2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32E1" w:rsidRDefault="0079442C">
            <w:pPr>
              <w:widowControl w:val="0"/>
              <w:spacing w:before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Натрий</w:t>
            </w:r>
          </w:p>
        </w:tc>
        <w:tc>
          <w:tcPr>
            <w:tcW w:w="2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32E1" w:rsidRDefault="0079442C">
            <w:pPr>
              <w:widowControl w:val="0"/>
              <w:spacing w:before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426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мг</w:t>
            </w:r>
          </w:p>
        </w:tc>
        <w:tc>
          <w:tcPr>
            <w:tcW w:w="2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32E1" w:rsidRDefault="0079442C">
            <w:pPr>
              <w:widowControl w:val="0"/>
              <w:spacing w:before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426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мг</w:t>
            </w:r>
          </w:p>
        </w:tc>
      </w:tr>
      <w:tr w:rsidR="004C32E1">
        <w:tc>
          <w:tcPr>
            <w:tcW w:w="2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32E1" w:rsidRDefault="0079442C">
            <w:pPr>
              <w:widowControl w:val="0"/>
              <w:spacing w:before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Цинк</w:t>
            </w:r>
          </w:p>
        </w:tc>
        <w:tc>
          <w:tcPr>
            <w:tcW w:w="2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32E1" w:rsidRDefault="00442665">
            <w:pPr>
              <w:widowControl w:val="0"/>
              <w:spacing w:before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  <w:r w:rsidR="00794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мг</w:t>
            </w:r>
          </w:p>
        </w:tc>
        <w:tc>
          <w:tcPr>
            <w:tcW w:w="2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32E1" w:rsidRDefault="00442665">
            <w:pPr>
              <w:widowControl w:val="0"/>
              <w:spacing w:before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="00794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мг</w:t>
            </w:r>
          </w:p>
        </w:tc>
      </w:tr>
    </w:tbl>
    <w:p w:rsidR="004C32E1" w:rsidRDefault="004C32E1">
      <w:pPr>
        <w:shd w:val="clear" w:color="auto" w:fill="FFFFFF"/>
        <w:spacing w:before="200" w:after="240" w:line="360" w:lineRule="auto"/>
        <w:ind w:left="14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32E1" w:rsidRDefault="004C32E1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4C32E1" w:rsidRDefault="004C32E1">
      <w:pPr>
        <w:shd w:val="clear" w:color="auto" w:fill="FFFFFF"/>
        <w:spacing w:before="200" w:after="240" w:line="360" w:lineRule="auto"/>
        <w:ind w:firstLine="700"/>
        <w:rPr>
          <w:rFonts w:ascii="Times New Roman" w:eastAsia="Times New Roman" w:hAnsi="Times New Roman" w:cs="Times New Roman"/>
          <w:b/>
          <w:color w:val="222222"/>
          <w:sz w:val="23"/>
          <w:szCs w:val="23"/>
          <w:highlight w:val="white"/>
        </w:rPr>
      </w:pPr>
    </w:p>
    <w:p w:rsidR="004C32E1" w:rsidRDefault="004C32E1">
      <w:pPr>
        <w:shd w:val="clear" w:color="auto" w:fill="FFFFFF"/>
        <w:spacing w:before="200" w:after="240" w:line="360" w:lineRule="auto"/>
        <w:ind w:firstLine="70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</w:p>
    <w:p w:rsidR="004C32E1" w:rsidRDefault="004C32E1">
      <w:pPr>
        <w:spacing w:before="200" w:after="240" w:line="360" w:lineRule="auto"/>
        <w:ind w:firstLine="70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</w:pPr>
    </w:p>
    <w:p w:rsidR="004C32E1" w:rsidRDefault="0079442C">
      <w:pPr>
        <w:spacing w:before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C32E1" w:rsidRDefault="0079442C">
      <w:pPr>
        <w:spacing w:before="200" w:line="360" w:lineRule="auto"/>
        <w:ind w:left="10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C32E1" w:rsidRDefault="0079442C">
      <w:pPr>
        <w:shd w:val="clear" w:color="auto" w:fill="FFFFFF"/>
        <w:spacing w:before="200" w:after="240"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C32E1" w:rsidRDefault="0079442C">
      <w:pPr>
        <w:spacing w:before="200" w:after="240"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C32E1" w:rsidRDefault="0079442C" w:rsidP="009E65CE">
      <w:pPr>
        <w:shd w:val="clear" w:color="auto" w:fill="FFFFFF"/>
        <w:spacing w:before="20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4C32E1" w:rsidSect="009E65CE">
      <w:headerReference w:type="default" r:id="rId15"/>
      <w:pgSz w:w="11909" w:h="16834"/>
      <w:pgMar w:top="1440" w:right="1440" w:bottom="1440" w:left="1440" w:header="720" w:footer="720" w:gutter="0"/>
      <w:pgNumType w:start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76DA" w:rsidRDefault="006C76DA">
      <w:pPr>
        <w:spacing w:line="240" w:lineRule="auto"/>
      </w:pPr>
      <w:r>
        <w:separator/>
      </w:r>
    </w:p>
  </w:endnote>
  <w:endnote w:type="continuationSeparator" w:id="0">
    <w:p w:rsidR="006C76DA" w:rsidRDefault="006C76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76DA" w:rsidRDefault="006C76DA">
      <w:pPr>
        <w:spacing w:line="240" w:lineRule="auto"/>
      </w:pPr>
      <w:r>
        <w:separator/>
      </w:r>
    </w:p>
  </w:footnote>
  <w:footnote w:type="continuationSeparator" w:id="0">
    <w:p w:rsidR="006C76DA" w:rsidRDefault="006C76D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32E1" w:rsidRDefault="004C32E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3840A1"/>
    <w:multiLevelType w:val="multilevel"/>
    <w:tmpl w:val="4D5E9E7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0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2E1"/>
    <w:rsid w:val="00240D4F"/>
    <w:rsid w:val="002B518A"/>
    <w:rsid w:val="003163B8"/>
    <w:rsid w:val="00442665"/>
    <w:rsid w:val="004C32E1"/>
    <w:rsid w:val="006308B1"/>
    <w:rsid w:val="006C76DA"/>
    <w:rsid w:val="0079442C"/>
    <w:rsid w:val="009E65CE"/>
    <w:rsid w:val="00BF7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59A8F"/>
  <w15:docId w15:val="{F087E39C-6478-6A48-B9A3-8BB3D0F62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8">
    <w:name w:val="No Spacing"/>
    <w:link w:val="a9"/>
    <w:uiPriority w:val="1"/>
    <w:qFormat/>
    <w:rsid w:val="009E65CE"/>
    <w:pPr>
      <w:spacing w:line="240" w:lineRule="auto"/>
    </w:pPr>
    <w:rPr>
      <w:rFonts w:asciiTheme="minorHAnsi" w:eastAsiaTheme="minorEastAsia" w:hAnsiTheme="minorHAnsi" w:cstheme="minorBidi"/>
      <w:lang w:val="en-US" w:eastAsia="zh-CN"/>
    </w:rPr>
  </w:style>
  <w:style w:type="character" w:customStyle="1" w:styleId="a9">
    <w:name w:val="Без интервала Знак"/>
    <w:basedOn w:val="a0"/>
    <w:link w:val="a8"/>
    <w:uiPriority w:val="1"/>
    <w:rsid w:val="009E65CE"/>
    <w:rPr>
      <w:rFonts w:asciiTheme="minorHAnsi" w:eastAsiaTheme="minorEastAsia" w:hAnsiTheme="minorHAnsi" w:cstheme="minorBidi"/>
      <w:lang w:val="en-US" w:eastAsia="zh-CN"/>
    </w:rPr>
  </w:style>
  <w:style w:type="character" w:styleId="aa">
    <w:name w:val="Hyperlink"/>
    <w:basedOn w:val="a0"/>
    <w:uiPriority w:val="99"/>
    <w:unhideWhenUsed/>
    <w:rsid w:val="002B518A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2B51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2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oprosy-pitaniya.ru/ru/jarticles_diet/889.html" TargetMode="External"/><Relationship Id="rId13" Type="http://schemas.openxmlformats.org/officeDocument/2006/relationships/hyperlink" Target="https://www.nal.usda.gov/human-nutrition-and-food-safety/dri-calculato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ncbi.nlm.nih.gov/pubmed/34264558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PMID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doi.org/10.33029%2F0042-8833-2021-90-3-67-7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6%D0%B8%D1%84%D1%80%D0%BE%D0%B2%D0%BE%D0%B9_%D0%B8%D0%B4%D0%B5%D0%BD%D1%82%D0%B8%D1%84%D0%B8%D0%BA%D0%B0%D1%82%D0%BE%D1%80_%D0%BE%D0%B1%D1%8A%D0%B5%D0%BA%D1%82%D0%B0" TargetMode="External"/><Relationship Id="rId1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97D4CB8-FE9E-484A-AEBA-AEC761B2F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2817</Words>
  <Characters>16063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2023-11-12T18:23:00Z</dcterms:created>
  <dcterms:modified xsi:type="dcterms:W3CDTF">2023-11-12T18:23:00Z</dcterms:modified>
</cp:coreProperties>
</file>